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napToGrid w:val="0"/>
        <w:ind w:firstLine="620"/>
        <w:jc w:val="center"/>
        <w:rPr>
          <w:rFonts w:hint="eastAsia"/>
        </w:rPr>
      </w:pPr>
      <w:bookmarkStart w:id="0" w:name="_Toc485124291"/>
    </w:p>
    <w:p>
      <w:pPr>
        <w:pStyle w:val="2"/>
        <w:snapToGrid w:val="0"/>
        <w:ind w:firstLine="620"/>
        <w:jc w:val="center"/>
        <w:rPr>
          <w:rFonts w:hint="eastAsia"/>
        </w:rPr>
      </w:pPr>
    </w:p>
    <w:p>
      <w:pPr>
        <w:pStyle w:val="2"/>
        <w:snapToGrid w:val="0"/>
        <w:ind w:firstLine="620"/>
        <w:jc w:val="center"/>
        <w:rPr>
          <w:rFonts w:hint="eastAsia"/>
        </w:rPr>
      </w:pPr>
    </w:p>
    <w:p>
      <w:pPr>
        <w:pStyle w:val="2"/>
        <w:snapToGrid w:val="0"/>
        <w:ind w:firstLine="620"/>
        <w:jc w:val="center"/>
        <w:rPr>
          <w:rFonts w:hint="eastAsia" w:cs="Times New Roman" w:asciiTheme="minorEastAsia" w:hAnsiTheme="minorEastAsia"/>
          <w:b/>
          <w:kern w:val="0"/>
          <w:sz w:val="28"/>
          <w:szCs w:val="28"/>
        </w:rPr>
      </w:pPr>
    </w:p>
    <w:p>
      <w:pPr>
        <w:snapToGrid w:val="0"/>
        <w:jc w:val="center"/>
        <w:rPr>
          <w:rFonts w:hint="eastAsia" w:cs="Times New Roman" w:asciiTheme="minorEastAsia" w:hAnsiTheme="minorEastAsia"/>
          <w:b/>
          <w:kern w:val="0"/>
          <w:sz w:val="28"/>
          <w:szCs w:val="28"/>
        </w:rPr>
      </w:pPr>
      <w:r>
        <w:rPr>
          <w:rFonts w:hint="eastAsia" w:cs="Times New Roman" w:asciiTheme="minorEastAsia" w:hAnsiTheme="minorEastAsia"/>
          <w:b/>
          <w:kern w:val="0"/>
          <w:sz w:val="28"/>
          <w:szCs w:val="28"/>
        </w:rPr>
        <w:t>曲沃县自得建材有限公司年开采加工12万吨建筑石料加工技术改造项目</w:t>
      </w:r>
    </w:p>
    <w:p>
      <w:pPr>
        <w:snapToGrid w:val="0"/>
        <w:jc w:val="center"/>
        <w:rPr>
          <w:rFonts w:hint="eastAsia" w:cs="Times New Roman" w:asciiTheme="minorEastAsia" w:hAnsiTheme="minorEastAsia"/>
          <w:b/>
          <w:kern w:val="0"/>
          <w:sz w:val="28"/>
          <w:szCs w:val="28"/>
        </w:rPr>
      </w:pPr>
    </w:p>
    <w:p>
      <w:pPr>
        <w:keepNext w:val="0"/>
        <w:keepLines w:val="0"/>
        <w:pageBreakBefore w:val="0"/>
        <w:widowControl w:val="0"/>
        <w:kinsoku/>
        <w:wordWrap/>
        <w:overflowPunct/>
        <w:topLinePunct w:val="0"/>
        <w:autoSpaceDE/>
        <w:autoSpaceDN/>
        <w:bidi w:val="0"/>
        <w:adjustRightInd/>
        <w:snapToGrid w:val="0"/>
        <w:ind w:firstLine="618"/>
        <w:jc w:val="center"/>
        <w:textAlignment w:val="auto"/>
        <w:rPr>
          <w:rFonts w:ascii="黑体" w:hAnsi="黑体" w:eastAsia="黑体" w:cs="Times New Roman"/>
          <w:b w:val="0"/>
          <w:bCs w:val="0"/>
          <w:spacing w:val="20"/>
          <w:sz w:val="72"/>
          <w:szCs w:val="72"/>
        </w:rPr>
      </w:pPr>
      <w:r>
        <w:rPr>
          <w:rFonts w:ascii="黑体" w:hAnsi="黑体" w:eastAsia="黑体" w:cs="Times New Roman"/>
          <w:b w:val="0"/>
          <w:bCs w:val="0"/>
          <w:spacing w:val="20"/>
          <w:sz w:val="72"/>
          <w:szCs w:val="72"/>
        </w:rPr>
        <w:t>水土保持方案报告</w:t>
      </w:r>
      <w:r>
        <w:rPr>
          <w:rFonts w:hint="eastAsia" w:ascii="黑体" w:hAnsi="黑体" w:eastAsia="黑体" w:cs="Times New Roman"/>
          <w:b w:val="0"/>
          <w:bCs w:val="0"/>
          <w:spacing w:val="20"/>
          <w:sz w:val="72"/>
          <w:szCs w:val="72"/>
        </w:rPr>
        <w:t>表</w:t>
      </w:r>
    </w:p>
    <w:p>
      <w:pPr>
        <w:jc w:val="center"/>
        <w:rPr>
          <w:rFonts w:cs="Times New Roman"/>
          <w:b/>
          <w:bCs/>
          <w:sz w:val="32"/>
          <w:szCs w:val="72"/>
        </w:rPr>
      </w:pPr>
    </w:p>
    <w:p>
      <w:pPr>
        <w:jc w:val="center"/>
        <w:rPr>
          <w:rFonts w:eastAsia="方正魏碑简体"/>
          <w:sz w:val="36"/>
          <w:szCs w:val="36"/>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pStyle w:val="2"/>
        <w:rPr>
          <w:rFonts w:cs="Times New Roman"/>
          <w:b/>
          <w:bCs/>
          <w:sz w:val="32"/>
          <w:szCs w:val="72"/>
        </w:rPr>
      </w:pPr>
    </w:p>
    <w:p>
      <w:pPr>
        <w:pStyle w:val="2"/>
        <w:rPr>
          <w:rFonts w:cs="Times New Roman"/>
          <w:b/>
          <w:bCs/>
          <w:sz w:val="32"/>
          <w:szCs w:val="72"/>
        </w:rPr>
      </w:pPr>
    </w:p>
    <w:p>
      <w:pPr>
        <w:keepNext w:val="0"/>
        <w:keepLines w:val="0"/>
        <w:pageBreakBefore w:val="0"/>
        <w:widowControl w:val="0"/>
        <w:kinsoku/>
        <w:wordWrap/>
        <w:overflowPunct/>
        <w:topLinePunct w:val="0"/>
        <w:autoSpaceDE/>
        <w:autoSpaceDN/>
        <w:bidi w:val="0"/>
        <w:adjustRightInd/>
        <w:snapToGrid/>
        <w:ind w:firstLine="488" w:firstLineChars="0"/>
        <w:textAlignment w:val="auto"/>
        <w:rPr>
          <w:rFonts w:hint="eastAsia" w:cs="Times New Roman" w:asciiTheme="minorEastAsia" w:hAnsiTheme="minorEastAsia" w:eastAsiaTheme="minorEastAsia"/>
          <w:bCs/>
          <w:spacing w:val="-10"/>
          <w:sz w:val="32"/>
          <w:szCs w:val="32"/>
          <w:lang w:eastAsia="zh-CN"/>
        </w:rPr>
      </w:pPr>
      <w:r>
        <w:rPr>
          <w:rFonts w:cs="Times New Roman" w:asciiTheme="minorEastAsia" w:hAnsiTheme="minorEastAsia"/>
          <w:bCs/>
          <w:spacing w:val="-10"/>
          <w:sz w:val="32"/>
          <w:szCs w:val="32"/>
        </w:rPr>
        <w:t>建设单位：</w:t>
      </w:r>
      <w:r>
        <w:rPr>
          <w:rFonts w:hint="eastAsia" w:cs="Times New Roman" w:asciiTheme="minorEastAsia" w:hAnsiTheme="minorEastAsia"/>
          <w:bCs/>
          <w:spacing w:val="-10"/>
          <w:sz w:val="32"/>
          <w:szCs w:val="32"/>
          <w:lang w:eastAsia="zh-CN"/>
        </w:rPr>
        <w:t>曲沃县自得建材有限公司</w:t>
      </w:r>
    </w:p>
    <w:p>
      <w:pPr>
        <w:keepNext w:val="0"/>
        <w:keepLines w:val="0"/>
        <w:pageBreakBefore w:val="0"/>
        <w:widowControl w:val="0"/>
        <w:kinsoku/>
        <w:wordWrap/>
        <w:overflowPunct/>
        <w:topLinePunct w:val="0"/>
        <w:autoSpaceDE/>
        <w:autoSpaceDN/>
        <w:bidi w:val="0"/>
        <w:adjustRightInd/>
        <w:snapToGrid/>
        <w:ind w:firstLine="488" w:firstLineChars="0"/>
        <w:textAlignment w:val="auto"/>
        <w:rPr>
          <w:rFonts w:hint="eastAsia" w:cs="Times New Roman" w:asciiTheme="minorEastAsia" w:hAnsiTheme="minorEastAsia" w:eastAsiaTheme="minorEastAsia"/>
          <w:bCs/>
          <w:spacing w:val="-8"/>
          <w:sz w:val="32"/>
          <w:szCs w:val="32"/>
          <w:lang w:eastAsia="zh-CN"/>
        </w:rPr>
      </w:pPr>
      <w:r>
        <w:rPr>
          <w:rFonts w:cs="Times New Roman" w:asciiTheme="minorEastAsia" w:hAnsiTheme="minorEastAsia"/>
          <w:bCs/>
          <w:spacing w:val="-8"/>
          <w:sz w:val="32"/>
          <w:szCs w:val="32"/>
        </w:rPr>
        <w:t>编制单位：</w:t>
      </w:r>
      <w:r>
        <w:rPr>
          <w:rFonts w:hint="eastAsia" w:cs="Times New Roman" w:asciiTheme="minorEastAsia" w:hAnsiTheme="minorEastAsia"/>
          <w:bCs/>
          <w:spacing w:val="-8"/>
          <w:sz w:val="32"/>
          <w:szCs w:val="32"/>
          <w:lang w:eastAsia="zh-CN"/>
        </w:rPr>
        <w:t>山西卓东工程技术开发有限公司</w:t>
      </w:r>
    </w:p>
    <w:p>
      <w:pPr>
        <w:adjustRightInd w:val="0"/>
        <w:snapToGrid w:val="0"/>
        <w:jc w:val="center"/>
        <w:rPr>
          <w:rFonts w:cs="Times New Roman" w:asciiTheme="minorEastAsia" w:hAnsiTheme="minorEastAsia"/>
          <w:sz w:val="32"/>
          <w:szCs w:val="32"/>
        </w:rPr>
      </w:pPr>
      <w:r>
        <w:rPr>
          <w:rFonts w:hint="eastAsia" w:cs="Times New Roman" w:asciiTheme="minorEastAsia" w:hAnsiTheme="minorEastAsia"/>
          <w:sz w:val="32"/>
          <w:szCs w:val="32"/>
          <w:lang w:val="en-US" w:eastAsia="zh-CN"/>
        </w:rPr>
        <w:t>2021</w:t>
      </w:r>
      <w:r>
        <w:rPr>
          <w:rFonts w:cs="Times New Roman" w:asciiTheme="minorEastAsia" w:hAnsiTheme="minorEastAsia"/>
          <w:sz w:val="32"/>
          <w:szCs w:val="32"/>
        </w:rPr>
        <w:t>年</w:t>
      </w:r>
      <w:r>
        <w:rPr>
          <w:rFonts w:hint="eastAsia" w:cs="Times New Roman" w:asciiTheme="minorEastAsia" w:hAnsiTheme="minorEastAsia"/>
          <w:sz w:val="32"/>
          <w:szCs w:val="32"/>
          <w:lang w:val="en-US" w:eastAsia="zh-CN"/>
        </w:rPr>
        <w:t>1</w:t>
      </w:r>
      <w:r>
        <w:rPr>
          <w:rFonts w:cs="Times New Roman" w:asciiTheme="minorEastAsia" w:hAnsiTheme="minorEastAsia"/>
          <w:sz w:val="32"/>
          <w:szCs w:val="32"/>
        </w:rPr>
        <w:t>月</w:t>
      </w:r>
    </w:p>
    <w:p>
      <w:pPr>
        <w:pStyle w:val="39"/>
        <w:outlineLvl w:val="9"/>
        <w:sectPr>
          <w:footerReference r:id="rId3" w:type="default"/>
          <w:pgSz w:w="11906" w:h="16838"/>
          <w:pgMar w:top="1588" w:right="1503" w:bottom="1588" w:left="1503" w:header="1021" w:footer="1134" w:gutter="0"/>
          <w:pgBorders>
            <w:top w:val="none" w:sz="0" w:space="0"/>
            <w:left w:val="none" w:sz="0" w:space="0"/>
            <w:bottom w:val="none" w:sz="0" w:space="0"/>
            <w:right w:val="none" w:sz="0" w:space="0"/>
          </w:pgBorders>
          <w:cols w:space="425" w:num="1"/>
          <w:docGrid w:type="lines" w:linePitch="312" w:charSpace="0"/>
        </w:sectPr>
      </w:pPr>
    </w:p>
    <w:p>
      <w:pPr>
        <w:pStyle w:val="48"/>
        <w:jc w:val="center"/>
        <w:rPr>
          <w:sz w:val="24"/>
          <w:szCs w:val="24"/>
        </w:rPr>
      </w:pPr>
      <w:r>
        <w:rPr>
          <w:rFonts w:hint="eastAsia" w:cs="宋体" w:asciiTheme="minorEastAsia" w:hAnsiTheme="minorEastAsia"/>
          <w:spacing w:val="-20"/>
          <w:kern w:val="0"/>
          <w:sz w:val="24"/>
          <w:szCs w:val="24"/>
          <w:u w:val="single"/>
          <w:lang w:eastAsia="zh-CN"/>
        </w:rPr>
        <w:t>曲沃县自得建材有限公司年开采加工12万吨建筑石料加工技术改造项目</w:t>
      </w:r>
      <w:r>
        <w:rPr>
          <w:rFonts w:hint="eastAsia"/>
          <w:spacing w:val="-20"/>
          <w:sz w:val="24"/>
          <w:szCs w:val="24"/>
        </w:rPr>
        <w:t>项目</w:t>
      </w:r>
      <w:r>
        <w:rPr>
          <w:spacing w:val="-20"/>
          <w:sz w:val="24"/>
          <w:szCs w:val="24"/>
        </w:rPr>
        <w:t>水土保持方案</w:t>
      </w:r>
      <w:r>
        <w:rPr>
          <w:rFonts w:hint="eastAsia"/>
          <w:spacing w:val="-20"/>
          <w:sz w:val="24"/>
          <w:szCs w:val="24"/>
        </w:rPr>
        <w:t>报告</w:t>
      </w:r>
      <w:r>
        <w:rPr>
          <w:spacing w:val="-20"/>
          <w:sz w:val="24"/>
          <w:szCs w:val="24"/>
        </w:rPr>
        <w:t>表</w:t>
      </w:r>
    </w:p>
    <w:tbl>
      <w:tblPr>
        <w:tblStyle w:val="24"/>
        <w:tblW w:w="10099" w:type="dxa"/>
        <w:tblInd w:w="-217" w:type="dxa"/>
        <w:tblLayout w:type="fixed"/>
        <w:tblCellMar>
          <w:top w:w="0" w:type="dxa"/>
          <w:left w:w="108" w:type="dxa"/>
          <w:bottom w:w="0" w:type="dxa"/>
          <w:right w:w="108" w:type="dxa"/>
        </w:tblCellMar>
      </w:tblPr>
      <w:tblGrid>
        <w:gridCol w:w="917"/>
        <w:gridCol w:w="1417"/>
        <w:gridCol w:w="1393"/>
        <w:gridCol w:w="2"/>
        <w:gridCol w:w="2044"/>
        <w:gridCol w:w="2037"/>
        <w:gridCol w:w="2289"/>
      </w:tblGrid>
      <w:tr>
        <w:tblPrEx>
          <w:tblCellMar>
            <w:top w:w="0" w:type="dxa"/>
            <w:left w:w="108" w:type="dxa"/>
            <w:bottom w:w="0" w:type="dxa"/>
            <w:right w:w="108" w:type="dxa"/>
          </w:tblCellMar>
        </w:tblPrEx>
        <w:trPr>
          <w:trHeight w:val="142" w:hRule="atLeast"/>
        </w:trPr>
        <w:tc>
          <w:tcPr>
            <w:tcW w:w="9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项目概况</w:t>
            </w:r>
          </w:p>
        </w:tc>
        <w:tc>
          <w:tcPr>
            <w:tcW w:w="1417"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位置</w:t>
            </w:r>
          </w:p>
        </w:tc>
        <w:tc>
          <w:tcPr>
            <w:tcW w:w="7765"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r>
              <w:rPr>
                <w:rFonts w:hint="eastAsia" w:ascii="仿宋" w:hAnsi="仿宋" w:eastAsia="仿宋" w:cs="仿宋"/>
                <w:kern w:val="0"/>
                <w:sz w:val="21"/>
                <w:szCs w:val="21"/>
                <w:lang w:eastAsia="zh-CN"/>
              </w:rPr>
              <w:t>曲沃县自得建材有限公司年开采加工12万吨建筑石料加工技术改造项目</w:t>
            </w:r>
            <w:r>
              <w:rPr>
                <w:rFonts w:hint="eastAsia" w:ascii="仿宋" w:hAnsi="仿宋" w:eastAsia="仿宋" w:cs="仿宋"/>
                <w:kern w:val="0"/>
                <w:sz w:val="21"/>
                <w:szCs w:val="21"/>
              </w:rPr>
              <w:t>位于曲沃县城175°方向直距约5.5km的裴南庄村，行政区划隶属曲沃县北董乡管辖。其地理坐标为北纬35°34′43″—35°34′55″，东111°29′07″—111°29′13″。</w:t>
            </w:r>
          </w:p>
        </w:tc>
      </w:tr>
      <w:tr>
        <w:tblPrEx>
          <w:tblCellMar>
            <w:top w:w="0" w:type="dxa"/>
            <w:left w:w="108" w:type="dxa"/>
            <w:bottom w:w="0" w:type="dxa"/>
            <w:right w:w="108" w:type="dxa"/>
          </w:tblCellMar>
        </w:tblPrEx>
        <w:trPr>
          <w:trHeight w:val="90" w:hRule="atLeast"/>
        </w:trPr>
        <w:tc>
          <w:tcPr>
            <w:tcW w:w="91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1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建设内容</w:t>
            </w:r>
          </w:p>
        </w:tc>
        <w:tc>
          <w:tcPr>
            <w:tcW w:w="7765"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r>
              <w:rPr>
                <w:rFonts w:hint="eastAsia" w:ascii="仿宋" w:hAnsi="仿宋" w:eastAsia="仿宋" w:cs="仿宋"/>
                <w:kern w:val="0"/>
                <w:sz w:val="21"/>
                <w:szCs w:val="21"/>
                <w:lang w:eastAsia="zh-CN"/>
              </w:rPr>
              <w:t>采场、加工场地、场地道路、输电线路</w:t>
            </w:r>
            <w:r>
              <w:rPr>
                <w:rFonts w:hint="eastAsia" w:ascii="仿宋" w:hAnsi="仿宋" w:eastAsia="仿宋" w:cs="仿宋"/>
                <w:kern w:val="0"/>
                <w:sz w:val="21"/>
                <w:szCs w:val="21"/>
              </w:rPr>
              <w:t>等设施。</w:t>
            </w:r>
          </w:p>
        </w:tc>
      </w:tr>
      <w:tr>
        <w:tblPrEx>
          <w:tblCellMar>
            <w:top w:w="0" w:type="dxa"/>
            <w:left w:w="108" w:type="dxa"/>
            <w:bottom w:w="0" w:type="dxa"/>
            <w:right w:w="108" w:type="dxa"/>
          </w:tblCellMar>
        </w:tblPrEx>
        <w:trPr>
          <w:trHeight w:val="90" w:hRule="atLeast"/>
        </w:trPr>
        <w:tc>
          <w:tcPr>
            <w:tcW w:w="91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1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建设性质</w:t>
            </w:r>
          </w:p>
        </w:tc>
        <w:tc>
          <w:tcPr>
            <w:tcW w:w="3439"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整合</w:t>
            </w: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总投资（万元）</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218.00</w:t>
            </w:r>
          </w:p>
        </w:tc>
      </w:tr>
      <w:tr>
        <w:tblPrEx>
          <w:tblCellMar>
            <w:top w:w="0" w:type="dxa"/>
            <w:left w:w="108" w:type="dxa"/>
            <w:bottom w:w="0" w:type="dxa"/>
            <w:right w:w="108" w:type="dxa"/>
          </w:tblCellMar>
        </w:tblPrEx>
        <w:trPr>
          <w:trHeight w:val="90" w:hRule="atLeast"/>
        </w:trPr>
        <w:tc>
          <w:tcPr>
            <w:tcW w:w="91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17"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土建投资</w:t>
            </w:r>
          </w:p>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（万元）</w:t>
            </w:r>
          </w:p>
        </w:tc>
        <w:tc>
          <w:tcPr>
            <w:tcW w:w="3439"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rPr>
            </w:pPr>
            <w:r>
              <w:rPr>
                <w:rFonts w:hint="eastAsia" w:ascii="仿宋" w:hAnsi="仿宋" w:eastAsia="仿宋" w:cs="仿宋"/>
                <w:kern w:val="0"/>
                <w:sz w:val="21"/>
                <w:szCs w:val="21"/>
                <w:lang w:val="en-US" w:eastAsia="zh-CN"/>
              </w:rPr>
              <w:t>50.00</w:t>
            </w:r>
          </w:p>
        </w:tc>
        <w:tc>
          <w:tcPr>
            <w:tcW w:w="2037"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占地面积（hm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rPr>
              <w:t>永久：</w:t>
            </w:r>
            <w:r>
              <w:rPr>
                <w:rFonts w:hint="eastAsia" w:ascii="仿宋" w:hAnsi="仿宋" w:eastAsia="仿宋" w:cs="仿宋"/>
                <w:kern w:val="0"/>
                <w:sz w:val="21"/>
                <w:szCs w:val="21"/>
                <w:lang w:val="en-US" w:eastAsia="zh-CN"/>
              </w:rPr>
              <w:t>3.51</w:t>
            </w:r>
          </w:p>
        </w:tc>
      </w:tr>
      <w:tr>
        <w:tblPrEx>
          <w:tblCellMar>
            <w:top w:w="0" w:type="dxa"/>
            <w:left w:w="108" w:type="dxa"/>
            <w:bottom w:w="0" w:type="dxa"/>
            <w:right w:w="108" w:type="dxa"/>
          </w:tblCellMar>
        </w:tblPrEx>
        <w:trPr>
          <w:trHeight w:val="90" w:hRule="atLeast"/>
        </w:trPr>
        <w:tc>
          <w:tcPr>
            <w:tcW w:w="91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3439"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03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临时：0.00</w:t>
            </w:r>
          </w:p>
        </w:tc>
      </w:tr>
      <w:tr>
        <w:tblPrEx>
          <w:tblCellMar>
            <w:top w:w="0" w:type="dxa"/>
            <w:left w:w="108" w:type="dxa"/>
            <w:bottom w:w="0" w:type="dxa"/>
            <w:right w:w="108" w:type="dxa"/>
          </w:tblCellMar>
        </w:tblPrEx>
        <w:trPr>
          <w:trHeight w:val="90" w:hRule="atLeast"/>
        </w:trPr>
        <w:tc>
          <w:tcPr>
            <w:tcW w:w="91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1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动工时间</w:t>
            </w:r>
          </w:p>
        </w:tc>
        <w:tc>
          <w:tcPr>
            <w:tcW w:w="3439"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20</w:t>
            </w:r>
            <w:r>
              <w:rPr>
                <w:rFonts w:hint="eastAsia" w:ascii="仿宋" w:hAnsi="仿宋" w:eastAsia="仿宋" w:cs="仿宋"/>
                <w:kern w:val="0"/>
                <w:sz w:val="21"/>
                <w:szCs w:val="21"/>
                <w:lang w:val="en-US" w:eastAsia="zh-CN"/>
              </w:rPr>
              <w:t>21</w:t>
            </w:r>
            <w:r>
              <w:rPr>
                <w:rFonts w:hint="eastAsia" w:ascii="仿宋" w:hAnsi="仿宋" w:eastAsia="仿宋" w:cs="仿宋"/>
                <w:kern w:val="0"/>
                <w:sz w:val="21"/>
                <w:szCs w:val="21"/>
              </w:rPr>
              <w:t>年</w:t>
            </w:r>
            <w:r>
              <w:rPr>
                <w:rFonts w:hint="eastAsia" w:ascii="仿宋" w:hAnsi="仿宋" w:eastAsia="仿宋" w:cs="仿宋"/>
                <w:kern w:val="0"/>
                <w:sz w:val="21"/>
                <w:szCs w:val="21"/>
                <w:lang w:val="en-US" w:eastAsia="zh-CN"/>
              </w:rPr>
              <w:t>4</w:t>
            </w:r>
            <w:r>
              <w:rPr>
                <w:rFonts w:hint="eastAsia" w:ascii="仿宋" w:hAnsi="仿宋" w:eastAsia="仿宋" w:cs="仿宋"/>
                <w:kern w:val="0"/>
                <w:sz w:val="21"/>
                <w:szCs w:val="21"/>
              </w:rPr>
              <w:t>月</w:t>
            </w: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完工时间</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20</w:t>
            </w:r>
            <w:r>
              <w:rPr>
                <w:rFonts w:hint="eastAsia" w:ascii="仿宋" w:hAnsi="仿宋" w:eastAsia="仿宋" w:cs="仿宋"/>
                <w:kern w:val="0"/>
                <w:sz w:val="21"/>
                <w:szCs w:val="21"/>
                <w:lang w:val="en-US" w:eastAsia="zh-CN"/>
              </w:rPr>
              <w:t>21</w:t>
            </w:r>
            <w:r>
              <w:rPr>
                <w:rFonts w:hint="eastAsia" w:ascii="仿宋" w:hAnsi="仿宋" w:eastAsia="仿宋" w:cs="仿宋"/>
                <w:kern w:val="0"/>
                <w:sz w:val="21"/>
                <w:szCs w:val="21"/>
              </w:rPr>
              <w:t>年</w:t>
            </w:r>
            <w:r>
              <w:rPr>
                <w:rFonts w:hint="eastAsia" w:ascii="仿宋" w:hAnsi="仿宋" w:eastAsia="仿宋" w:cs="仿宋"/>
                <w:kern w:val="0"/>
                <w:sz w:val="21"/>
                <w:szCs w:val="21"/>
                <w:lang w:val="en-US" w:eastAsia="zh-CN"/>
              </w:rPr>
              <w:t>10</w:t>
            </w:r>
            <w:r>
              <w:rPr>
                <w:rFonts w:hint="eastAsia" w:ascii="仿宋" w:hAnsi="仿宋" w:eastAsia="仿宋" w:cs="仿宋"/>
                <w:kern w:val="0"/>
                <w:sz w:val="21"/>
                <w:szCs w:val="21"/>
              </w:rPr>
              <w:t>月</w:t>
            </w:r>
          </w:p>
        </w:tc>
      </w:tr>
      <w:tr>
        <w:tblPrEx>
          <w:tblCellMar>
            <w:top w:w="0" w:type="dxa"/>
            <w:left w:w="108" w:type="dxa"/>
            <w:bottom w:w="0" w:type="dxa"/>
            <w:right w:w="108" w:type="dxa"/>
          </w:tblCellMar>
        </w:tblPrEx>
        <w:trPr>
          <w:trHeight w:val="90" w:hRule="atLeast"/>
        </w:trPr>
        <w:tc>
          <w:tcPr>
            <w:tcW w:w="91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17"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土石方</w:t>
            </w:r>
          </w:p>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（万m</w:t>
            </w:r>
            <w:r>
              <w:rPr>
                <w:rFonts w:hint="eastAsia" w:ascii="仿宋" w:hAnsi="仿宋" w:eastAsia="仿宋" w:cs="仿宋"/>
                <w:kern w:val="0"/>
                <w:sz w:val="21"/>
                <w:szCs w:val="21"/>
                <w:vertAlign w:val="superscript"/>
              </w:rPr>
              <w:t>3</w:t>
            </w:r>
            <w:r>
              <w:rPr>
                <w:rFonts w:hint="eastAsia" w:ascii="仿宋" w:hAnsi="仿宋" w:eastAsia="仿宋" w:cs="仿宋"/>
                <w:kern w:val="0"/>
                <w:sz w:val="21"/>
                <w:szCs w:val="21"/>
              </w:rPr>
              <w:t>）</w:t>
            </w:r>
          </w:p>
        </w:tc>
        <w:tc>
          <w:tcPr>
            <w:tcW w:w="139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挖方</w:t>
            </w:r>
          </w:p>
        </w:tc>
        <w:tc>
          <w:tcPr>
            <w:tcW w:w="2046"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填方</w:t>
            </w: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借方</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余（弃）方</w:t>
            </w:r>
          </w:p>
        </w:tc>
      </w:tr>
      <w:tr>
        <w:tblPrEx>
          <w:tblCellMar>
            <w:top w:w="0" w:type="dxa"/>
            <w:left w:w="108" w:type="dxa"/>
            <w:bottom w:w="0" w:type="dxa"/>
            <w:right w:w="108" w:type="dxa"/>
          </w:tblCellMar>
        </w:tblPrEx>
        <w:trPr>
          <w:trHeight w:val="90" w:hRule="atLeast"/>
        </w:trPr>
        <w:tc>
          <w:tcPr>
            <w:tcW w:w="91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39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rPr>
              <w:t>0.</w:t>
            </w:r>
            <w:r>
              <w:rPr>
                <w:rFonts w:hint="eastAsia" w:ascii="仿宋" w:hAnsi="仿宋" w:eastAsia="仿宋" w:cs="仿宋"/>
                <w:kern w:val="0"/>
                <w:sz w:val="21"/>
                <w:szCs w:val="21"/>
                <w:lang w:val="en-US" w:eastAsia="zh-CN"/>
              </w:rPr>
              <w:t>5</w:t>
            </w:r>
          </w:p>
        </w:tc>
        <w:tc>
          <w:tcPr>
            <w:tcW w:w="2046"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0.5</w:t>
            </w: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0</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0</w:t>
            </w:r>
          </w:p>
        </w:tc>
      </w:tr>
      <w:tr>
        <w:tblPrEx>
          <w:tblCellMar>
            <w:top w:w="0" w:type="dxa"/>
            <w:left w:w="108" w:type="dxa"/>
            <w:bottom w:w="0" w:type="dxa"/>
            <w:right w:w="108" w:type="dxa"/>
          </w:tblCellMar>
        </w:tblPrEx>
        <w:trPr>
          <w:trHeight w:val="90" w:hRule="atLeast"/>
        </w:trPr>
        <w:tc>
          <w:tcPr>
            <w:tcW w:w="91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1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取土场</w:t>
            </w:r>
          </w:p>
        </w:tc>
        <w:tc>
          <w:tcPr>
            <w:tcW w:w="7765"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无。</w:t>
            </w:r>
          </w:p>
        </w:tc>
      </w:tr>
      <w:tr>
        <w:tblPrEx>
          <w:tblCellMar>
            <w:top w:w="0" w:type="dxa"/>
            <w:left w:w="108" w:type="dxa"/>
            <w:bottom w:w="0" w:type="dxa"/>
            <w:right w:w="108" w:type="dxa"/>
          </w:tblCellMar>
        </w:tblPrEx>
        <w:trPr>
          <w:trHeight w:val="90" w:hRule="atLeast"/>
        </w:trPr>
        <w:tc>
          <w:tcPr>
            <w:tcW w:w="91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141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弃土场</w:t>
            </w:r>
          </w:p>
        </w:tc>
        <w:tc>
          <w:tcPr>
            <w:tcW w:w="7765"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无。</w:t>
            </w:r>
          </w:p>
        </w:tc>
      </w:tr>
      <w:tr>
        <w:tblPrEx>
          <w:tblCellMar>
            <w:top w:w="0" w:type="dxa"/>
            <w:left w:w="108" w:type="dxa"/>
            <w:bottom w:w="0" w:type="dxa"/>
            <w:right w:w="108" w:type="dxa"/>
          </w:tblCellMar>
        </w:tblPrEx>
        <w:trPr>
          <w:trHeight w:val="90" w:hRule="atLeast"/>
        </w:trPr>
        <w:tc>
          <w:tcPr>
            <w:tcW w:w="917"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项目区概况</w:t>
            </w:r>
          </w:p>
        </w:tc>
        <w:tc>
          <w:tcPr>
            <w:tcW w:w="2812"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涉及重点防治区情况</w:t>
            </w:r>
          </w:p>
        </w:tc>
        <w:tc>
          <w:tcPr>
            <w:tcW w:w="204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水土流失重点预防保护区</w:t>
            </w: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地貌类型</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eastAsia="仿宋_GB2312"/>
                <w:szCs w:val="21"/>
                <w:lang w:eastAsia="zh-CN"/>
              </w:rPr>
              <w:t>黄土高原区</w:t>
            </w:r>
          </w:p>
        </w:tc>
      </w:tr>
      <w:tr>
        <w:tblPrEx>
          <w:tblCellMar>
            <w:top w:w="0" w:type="dxa"/>
            <w:left w:w="108" w:type="dxa"/>
            <w:bottom w:w="0" w:type="dxa"/>
            <w:right w:w="108" w:type="dxa"/>
          </w:tblCellMar>
        </w:tblPrEx>
        <w:trPr>
          <w:trHeight w:val="90" w:hRule="atLeast"/>
        </w:trPr>
        <w:tc>
          <w:tcPr>
            <w:tcW w:w="9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812"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原地貌土壤侵蚀模数[t/(km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·a)]</w:t>
            </w:r>
          </w:p>
        </w:tc>
        <w:tc>
          <w:tcPr>
            <w:tcW w:w="204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27</w:t>
            </w:r>
            <w:r>
              <w:rPr>
                <w:rFonts w:hint="eastAsia" w:ascii="仿宋" w:hAnsi="仿宋" w:eastAsia="仿宋" w:cs="仿宋"/>
                <w:kern w:val="0"/>
                <w:sz w:val="21"/>
                <w:szCs w:val="21"/>
              </w:rPr>
              <w:t>00</w:t>
            </w: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容许土壤流失量[t/(km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·a)]</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1000</w:t>
            </w:r>
          </w:p>
        </w:tc>
      </w:tr>
      <w:tr>
        <w:tblPrEx>
          <w:tblCellMar>
            <w:top w:w="0" w:type="dxa"/>
            <w:left w:w="108" w:type="dxa"/>
            <w:bottom w:w="0" w:type="dxa"/>
            <w:right w:w="108" w:type="dxa"/>
          </w:tblCellMar>
        </w:tblPrEx>
        <w:trPr>
          <w:trHeight w:val="177" w:hRule="atLeast"/>
        </w:trPr>
        <w:tc>
          <w:tcPr>
            <w:tcW w:w="23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项目选址（线）水土保持评价</w:t>
            </w:r>
          </w:p>
        </w:tc>
        <w:tc>
          <w:tcPr>
            <w:tcW w:w="7765"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仿宋" w:hAnsi="仿宋" w:eastAsia="仿宋" w:cs="仿宋"/>
                <w:kern w:val="0"/>
                <w:sz w:val="21"/>
                <w:szCs w:val="21"/>
              </w:rPr>
            </w:pPr>
            <w:r>
              <w:rPr>
                <w:rFonts w:hint="eastAsia" w:ascii="仿宋" w:hAnsi="仿宋" w:eastAsia="仿宋" w:cs="仿宋"/>
                <w:kern w:val="0"/>
                <w:sz w:val="21"/>
                <w:szCs w:val="21"/>
                <w:lang w:eastAsia="zh-CN"/>
              </w:rPr>
              <w:t>工</w:t>
            </w:r>
            <w:r>
              <w:rPr>
                <w:rFonts w:hint="eastAsia" w:ascii="仿宋" w:hAnsi="仿宋" w:eastAsia="仿宋" w:cs="仿宋"/>
                <w:kern w:val="0"/>
                <w:sz w:val="21"/>
                <w:szCs w:val="21"/>
              </w:rPr>
              <w:t>程选址不属于河流两岸、湖泊和水库周边的植物保护带；不处于全国水土保持监测网络中的水土保持监测站点，重点试验区及国家确定的水土保持长期定位观测站；处于山西省省级水土流失重点预防保护区，可通过提高防治标准指标值，并加强水土保持措施，减轻工程建设水土流失影响。因此，从水土保持角度分析工程选址合理。</w:t>
            </w:r>
          </w:p>
        </w:tc>
      </w:tr>
      <w:tr>
        <w:tblPrEx>
          <w:tblCellMar>
            <w:top w:w="0" w:type="dxa"/>
            <w:left w:w="108" w:type="dxa"/>
            <w:bottom w:w="0" w:type="dxa"/>
            <w:right w:w="108" w:type="dxa"/>
          </w:tblCellMar>
        </w:tblPrEx>
        <w:trPr>
          <w:trHeight w:val="90" w:hRule="atLeast"/>
        </w:trPr>
        <w:tc>
          <w:tcPr>
            <w:tcW w:w="23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预测水土流失总量(t)</w:t>
            </w:r>
          </w:p>
        </w:tc>
        <w:tc>
          <w:tcPr>
            <w:tcW w:w="7765"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default" w:ascii="仿宋" w:hAnsi="仿宋" w:eastAsia="仿宋" w:cs="仿宋"/>
                <w:kern w:val="0"/>
                <w:sz w:val="21"/>
                <w:szCs w:val="21"/>
                <w:lang w:val="en-US" w:eastAsia="zh-CN"/>
              </w:rPr>
              <w:t>683.47</w:t>
            </w:r>
          </w:p>
        </w:tc>
      </w:tr>
      <w:tr>
        <w:tblPrEx>
          <w:tblCellMar>
            <w:top w:w="0" w:type="dxa"/>
            <w:left w:w="108" w:type="dxa"/>
            <w:bottom w:w="0" w:type="dxa"/>
            <w:right w:w="108" w:type="dxa"/>
          </w:tblCellMar>
        </w:tblPrEx>
        <w:trPr>
          <w:trHeight w:val="90" w:hRule="atLeast"/>
        </w:trPr>
        <w:tc>
          <w:tcPr>
            <w:tcW w:w="23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防治责任范围（hm</w:t>
            </w:r>
            <w:r>
              <w:rPr>
                <w:rFonts w:hint="eastAsia" w:ascii="仿宋" w:hAnsi="仿宋" w:eastAsia="仿宋" w:cs="仿宋"/>
                <w:kern w:val="0"/>
                <w:sz w:val="21"/>
                <w:szCs w:val="21"/>
                <w:vertAlign w:val="superscript"/>
              </w:rPr>
              <w:t>2</w:t>
            </w:r>
            <w:r>
              <w:rPr>
                <w:rFonts w:hint="eastAsia" w:ascii="仿宋" w:hAnsi="仿宋" w:eastAsia="仿宋" w:cs="仿宋"/>
                <w:kern w:val="0"/>
                <w:sz w:val="21"/>
                <w:szCs w:val="21"/>
              </w:rPr>
              <w:t>）</w:t>
            </w:r>
          </w:p>
        </w:tc>
        <w:tc>
          <w:tcPr>
            <w:tcW w:w="7765" w:type="dxa"/>
            <w:gridSpan w:val="5"/>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3.51</w:t>
            </w:r>
          </w:p>
        </w:tc>
      </w:tr>
      <w:tr>
        <w:tblPrEx>
          <w:tblCellMar>
            <w:top w:w="0" w:type="dxa"/>
            <w:left w:w="108" w:type="dxa"/>
            <w:bottom w:w="0" w:type="dxa"/>
            <w:right w:w="108" w:type="dxa"/>
          </w:tblCellMar>
        </w:tblPrEx>
        <w:trPr>
          <w:trHeight w:val="90" w:hRule="atLeast"/>
        </w:trPr>
        <w:tc>
          <w:tcPr>
            <w:tcW w:w="917"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rPr>
              <w:t>防治标准等级及</w:t>
            </w:r>
            <w:r>
              <w:rPr>
                <w:rFonts w:hint="eastAsia" w:ascii="仿宋" w:hAnsi="仿宋" w:eastAsia="仿宋" w:cs="仿宋"/>
                <w:kern w:val="0"/>
                <w:sz w:val="21"/>
                <w:szCs w:val="21"/>
                <w:lang w:eastAsia="zh-CN"/>
              </w:rPr>
              <w:t>指标</w:t>
            </w:r>
          </w:p>
        </w:tc>
        <w:tc>
          <w:tcPr>
            <w:tcW w:w="2810"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防治标准等级</w:t>
            </w:r>
          </w:p>
        </w:tc>
        <w:tc>
          <w:tcPr>
            <w:tcW w:w="6372" w:type="dxa"/>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西北黄土高原区水土流失防治一级标准</w:t>
            </w:r>
          </w:p>
        </w:tc>
      </w:tr>
      <w:tr>
        <w:tblPrEx>
          <w:tblCellMar>
            <w:top w:w="0" w:type="dxa"/>
            <w:left w:w="108" w:type="dxa"/>
            <w:bottom w:w="0" w:type="dxa"/>
            <w:right w:w="108" w:type="dxa"/>
          </w:tblCellMar>
        </w:tblPrEx>
        <w:trPr>
          <w:trHeight w:val="90" w:hRule="atLeast"/>
        </w:trPr>
        <w:tc>
          <w:tcPr>
            <w:tcW w:w="9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810"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水土流失治理度（%）</w:t>
            </w:r>
          </w:p>
        </w:tc>
        <w:tc>
          <w:tcPr>
            <w:tcW w:w="2046"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93</w:t>
            </w: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土壤流失控制比</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rPr>
            </w:pPr>
            <w:r>
              <w:rPr>
                <w:rFonts w:hint="eastAsia" w:ascii="仿宋" w:hAnsi="仿宋" w:eastAsia="仿宋" w:cs="仿宋"/>
                <w:kern w:val="0"/>
                <w:sz w:val="21"/>
                <w:szCs w:val="21"/>
                <w:lang w:val="en-US" w:eastAsia="zh-CN"/>
              </w:rPr>
              <w:t>1.0</w:t>
            </w:r>
          </w:p>
        </w:tc>
      </w:tr>
      <w:tr>
        <w:tblPrEx>
          <w:tblCellMar>
            <w:top w:w="0" w:type="dxa"/>
            <w:left w:w="108" w:type="dxa"/>
            <w:bottom w:w="0" w:type="dxa"/>
            <w:right w:w="108" w:type="dxa"/>
          </w:tblCellMar>
        </w:tblPrEx>
        <w:trPr>
          <w:trHeight w:val="90" w:hRule="atLeast"/>
        </w:trPr>
        <w:tc>
          <w:tcPr>
            <w:tcW w:w="9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810"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渣土拦护率（%）</w:t>
            </w:r>
          </w:p>
        </w:tc>
        <w:tc>
          <w:tcPr>
            <w:tcW w:w="2046"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92</w:t>
            </w: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表土保护率（%）</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r>
      <w:tr>
        <w:tblPrEx>
          <w:tblCellMar>
            <w:top w:w="0" w:type="dxa"/>
            <w:left w:w="108" w:type="dxa"/>
            <w:bottom w:w="0" w:type="dxa"/>
            <w:right w:w="108" w:type="dxa"/>
          </w:tblCellMar>
        </w:tblPrEx>
        <w:trPr>
          <w:trHeight w:val="90" w:hRule="atLeast"/>
        </w:trPr>
        <w:tc>
          <w:tcPr>
            <w:tcW w:w="9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810"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林草植被恢复率（%）</w:t>
            </w:r>
          </w:p>
        </w:tc>
        <w:tc>
          <w:tcPr>
            <w:tcW w:w="2046" w:type="dxa"/>
            <w:gridSpan w:val="2"/>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95</w:t>
            </w: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林草覆盖率（%）</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23</w:t>
            </w:r>
          </w:p>
        </w:tc>
      </w:tr>
      <w:tr>
        <w:tblPrEx>
          <w:tblCellMar>
            <w:top w:w="0" w:type="dxa"/>
            <w:left w:w="108" w:type="dxa"/>
            <w:bottom w:w="0" w:type="dxa"/>
            <w:right w:w="108" w:type="dxa"/>
          </w:tblCellMar>
        </w:tblPrEx>
        <w:trPr>
          <w:trHeight w:val="177" w:hRule="atLeast"/>
        </w:trPr>
        <w:tc>
          <w:tcPr>
            <w:tcW w:w="917"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水土保持措施</w:t>
            </w:r>
          </w:p>
        </w:tc>
        <w:tc>
          <w:tcPr>
            <w:tcW w:w="9182" w:type="dxa"/>
            <w:gridSpan w:val="6"/>
            <w:tcBorders>
              <w:top w:val="single" w:color="auto" w:sz="4" w:space="0"/>
              <w:left w:val="nil"/>
              <w:bottom w:val="single" w:color="auto" w:sz="4" w:space="0"/>
              <w:right w:val="single" w:color="000000" w:sz="4" w:space="0"/>
            </w:tcBorders>
            <w:shd w:val="clear" w:color="auto" w:fill="auto"/>
            <w:vAlign w:val="center"/>
          </w:tcPr>
          <w:p>
            <w:pPr>
              <w:pStyle w:val="43"/>
              <w:keepNext w:val="0"/>
              <w:keepLines w:val="0"/>
              <w:pageBreakBefore w:val="0"/>
              <w:kinsoku/>
              <w:wordWrap/>
              <w:overflowPunct/>
              <w:topLinePunct w:val="0"/>
              <w:autoSpaceDE/>
              <w:autoSpaceDN/>
              <w:bidi w:val="0"/>
              <w:snapToGrid w:val="0"/>
              <w:spacing w:line="240" w:lineRule="auto"/>
              <w:ind w:firstLine="480"/>
              <w:textAlignment w:val="auto"/>
              <w:rPr>
                <w:rFonts w:hint="default" w:ascii="仿宋" w:hAnsi="仿宋" w:eastAsia="仿宋" w:cs="仿宋"/>
                <w:kern w:val="0"/>
                <w:sz w:val="21"/>
                <w:szCs w:val="21"/>
                <w:lang w:val="en-US" w:eastAsia="zh-CN"/>
              </w:rPr>
            </w:pPr>
            <w:r>
              <w:rPr>
                <w:rFonts w:hint="default" w:ascii="仿宋" w:hAnsi="仿宋" w:eastAsia="仿宋" w:cs="仿宋"/>
                <w:kern w:val="0"/>
                <w:sz w:val="21"/>
                <w:szCs w:val="21"/>
                <w:lang w:val="en-US" w:eastAsia="zh-CN"/>
              </w:rPr>
              <w:t>采场平台内侧设置浆砌石（M7.5）底宽 0.4m，深 0.4m，壁厚 0.3m的排水沟</w:t>
            </w:r>
            <w:r>
              <w:rPr>
                <w:rFonts w:hint="eastAsia" w:ascii="仿宋" w:hAnsi="仿宋" w:eastAsia="仿宋" w:cs="仿宋"/>
                <w:kern w:val="0"/>
                <w:sz w:val="21"/>
                <w:szCs w:val="21"/>
                <w:lang w:val="en-US" w:eastAsia="zh-CN"/>
              </w:rPr>
              <w:t>2346</w:t>
            </w:r>
            <w:r>
              <w:rPr>
                <w:rFonts w:hint="default" w:ascii="仿宋" w:hAnsi="仿宋" w:eastAsia="仿宋" w:cs="仿宋"/>
                <w:kern w:val="0"/>
                <w:sz w:val="21"/>
                <w:szCs w:val="21"/>
                <w:lang w:val="en-US" w:eastAsia="zh-CN"/>
              </w:rPr>
              <w:t>m，采场周边布设浆砌石（M7.5）底宽 0.4m，深 0.4m，壁厚 0.3m的截水沟</w:t>
            </w:r>
            <w:r>
              <w:rPr>
                <w:rFonts w:hint="eastAsia" w:ascii="仿宋" w:hAnsi="仿宋" w:eastAsia="仿宋" w:cs="仿宋"/>
                <w:kern w:val="0"/>
                <w:sz w:val="21"/>
                <w:szCs w:val="21"/>
                <w:lang w:val="en-US" w:eastAsia="zh-CN"/>
              </w:rPr>
              <w:t>832</w:t>
            </w:r>
            <w:r>
              <w:rPr>
                <w:rFonts w:hint="default" w:ascii="仿宋" w:hAnsi="仿宋" w:eastAsia="仿宋" w:cs="仿宋"/>
                <w:kern w:val="0"/>
                <w:sz w:val="21"/>
                <w:szCs w:val="21"/>
                <w:lang w:val="en-US" w:eastAsia="zh-CN"/>
              </w:rPr>
              <w:t>m</w:t>
            </w:r>
            <w:r>
              <w:rPr>
                <w:rFonts w:hint="eastAsia" w:ascii="仿宋" w:hAnsi="仿宋" w:eastAsia="仿宋" w:cs="仿宋"/>
                <w:kern w:val="0"/>
                <w:sz w:val="21"/>
                <w:szCs w:val="21"/>
                <w:lang w:val="en-US" w:eastAsia="zh-CN"/>
              </w:rPr>
              <w:t>，消力池一座</w:t>
            </w:r>
            <w:r>
              <w:rPr>
                <w:rFonts w:hint="default" w:ascii="仿宋" w:hAnsi="仿宋" w:eastAsia="仿宋" w:cs="仿宋"/>
                <w:kern w:val="0"/>
                <w:sz w:val="21"/>
                <w:szCs w:val="21"/>
                <w:lang w:val="en-US" w:eastAsia="zh-CN"/>
              </w:rPr>
              <w:t>，</w:t>
            </w:r>
            <w:r>
              <w:rPr>
                <w:rFonts w:hint="eastAsia" w:ascii="仿宋" w:hAnsi="仿宋" w:eastAsia="仿宋" w:cs="仿宋"/>
                <w:kern w:val="0"/>
                <w:sz w:val="21"/>
                <w:szCs w:val="21"/>
                <w:lang w:val="en-US" w:eastAsia="zh-CN"/>
              </w:rPr>
              <w:t>覆土4787方，土地平整</w:t>
            </w:r>
            <w:r>
              <w:rPr>
                <w:rFonts w:hint="eastAsia" w:eastAsia="宋体" w:cs="Times New Roman"/>
                <w:i w:val="0"/>
                <w:color w:val="000000"/>
                <w:kern w:val="0"/>
                <w:sz w:val="21"/>
                <w:szCs w:val="21"/>
                <w:u w:val="none"/>
                <w:lang w:val="en-US" w:eastAsia="zh-CN" w:bidi="ar"/>
              </w:rPr>
              <w:t>1.57</w:t>
            </w:r>
            <w:r>
              <w:rPr>
                <w:rFonts w:hint="eastAsia" w:cs="Times New Roman"/>
                <w:i w:val="0"/>
                <w:color w:val="000000"/>
                <w:kern w:val="0"/>
                <w:sz w:val="21"/>
                <w:szCs w:val="21"/>
                <w:u w:val="none"/>
                <w:lang w:val="en-US" w:eastAsia="zh-CN" w:bidi="ar"/>
              </w:rPr>
              <w:t>hm</w:t>
            </w:r>
            <w:r>
              <w:rPr>
                <w:rFonts w:hint="eastAsia" w:cs="Times New Roman"/>
                <w:i w:val="0"/>
                <w:color w:val="000000"/>
                <w:kern w:val="0"/>
                <w:sz w:val="21"/>
                <w:szCs w:val="21"/>
                <w:u w:val="none"/>
                <w:vertAlign w:val="superscript"/>
                <w:lang w:val="en-US" w:eastAsia="zh-CN" w:bidi="ar"/>
              </w:rPr>
              <w:t>2</w:t>
            </w:r>
            <w:r>
              <w:rPr>
                <w:rFonts w:hint="eastAsia" w:cs="Times New Roman"/>
                <w:i w:val="0"/>
                <w:color w:val="000000"/>
                <w:kern w:val="0"/>
                <w:sz w:val="21"/>
                <w:szCs w:val="21"/>
                <w:u w:val="none"/>
                <w:lang w:val="en-US" w:eastAsia="zh-CN" w:bidi="ar"/>
              </w:rPr>
              <w:t>，</w:t>
            </w:r>
            <w:r>
              <w:rPr>
                <w:rFonts w:hint="default" w:ascii="仿宋" w:hAnsi="仿宋" w:eastAsia="仿宋" w:cs="仿宋"/>
                <w:kern w:val="0"/>
                <w:sz w:val="21"/>
                <w:szCs w:val="21"/>
                <w:lang w:val="en-US" w:eastAsia="zh-CN"/>
              </w:rPr>
              <w:t>加工场地周边修建浆砌石（M7.5）底宽 0.4m，深 0.4m，壁厚 0.3m的排水沟323m，场地道路一侧修建浆砌石（M7.5）底宽 0.4m，深 0.4m，壁厚 0.3m的排水沟</w:t>
            </w:r>
            <w:r>
              <w:rPr>
                <w:rFonts w:hint="eastAsia" w:ascii="仿宋" w:hAnsi="仿宋" w:eastAsia="仿宋" w:cs="仿宋"/>
                <w:kern w:val="0"/>
                <w:sz w:val="21"/>
                <w:szCs w:val="21"/>
                <w:lang w:val="en-US" w:eastAsia="zh-CN"/>
              </w:rPr>
              <w:t>2132</w:t>
            </w:r>
            <w:r>
              <w:rPr>
                <w:rFonts w:hint="default" w:ascii="仿宋" w:hAnsi="仿宋" w:eastAsia="仿宋" w:cs="仿宋"/>
                <w:kern w:val="0"/>
                <w:sz w:val="21"/>
                <w:szCs w:val="21"/>
                <w:lang w:val="en-US" w:eastAsia="zh-CN"/>
              </w:rPr>
              <w:t>m，采场的平台（种植刺槐和撒播紫花苜蓿）绿化</w:t>
            </w:r>
            <w:r>
              <w:rPr>
                <w:rFonts w:hint="eastAsia" w:ascii="仿宋" w:hAnsi="仿宋" w:eastAsia="仿宋" w:cs="仿宋"/>
                <w:kern w:val="0"/>
                <w:sz w:val="21"/>
                <w:szCs w:val="21"/>
                <w:lang w:val="en-US" w:eastAsia="zh-CN"/>
              </w:rPr>
              <w:t>2.26</w:t>
            </w:r>
            <w:r>
              <w:rPr>
                <w:rFonts w:hint="default" w:ascii="仿宋" w:hAnsi="仿宋" w:eastAsia="仿宋" w:cs="仿宋"/>
                <w:kern w:val="0"/>
                <w:sz w:val="21"/>
                <w:szCs w:val="21"/>
                <w:lang w:val="en-US" w:eastAsia="zh-CN"/>
              </w:rPr>
              <w:t>hm</w:t>
            </w:r>
            <w:r>
              <w:rPr>
                <w:rFonts w:hint="default" w:ascii="仿宋" w:hAnsi="仿宋" w:eastAsia="仿宋" w:cs="仿宋"/>
                <w:kern w:val="0"/>
                <w:sz w:val="21"/>
                <w:szCs w:val="21"/>
                <w:vertAlign w:val="superscript"/>
                <w:lang w:val="en-US" w:eastAsia="zh-CN"/>
              </w:rPr>
              <w:t>2</w:t>
            </w:r>
            <w:r>
              <w:rPr>
                <w:rFonts w:hint="default" w:ascii="仿宋" w:hAnsi="仿宋" w:eastAsia="仿宋" w:cs="仿宋"/>
                <w:kern w:val="0"/>
                <w:sz w:val="21"/>
                <w:szCs w:val="21"/>
                <w:lang w:val="en-US" w:eastAsia="zh-CN"/>
              </w:rPr>
              <w:t>。</w:t>
            </w:r>
          </w:p>
        </w:tc>
      </w:tr>
      <w:tr>
        <w:tblPrEx>
          <w:tblCellMar>
            <w:top w:w="0" w:type="dxa"/>
            <w:left w:w="108" w:type="dxa"/>
            <w:bottom w:w="0" w:type="dxa"/>
            <w:right w:w="108" w:type="dxa"/>
          </w:tblCellMar>
        </w:tblPrEx>
        <w:trPr>
          <w:trHeight w:val="90" w:hRule="atLeast"/>
        </w:trPr>
        <w:tc>
          <w:tcPr>
            <w:tcW w:w="917"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水土保持投资估算（万元）</w:t>
            </w:r>
          </w:p>
        </w:tc>
        <w:tc>
          <w:tcPr>
            <w:tcW w:w="2812"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工程措施</w:t>
            </w:r>
          </w:p>
        </w:tc>
        <w:tc>
          <w:tcPr>
            <w:tcW w:w="204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137</w:t>
            </w: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植物措施</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2.66</w:t>
            </w:r>
          </w:p>
        </w:tc>
      </w:tr>
      <w:tr>
        <w:tblPrEx>
          <w:tblCellMar>
            <w:top w:w="0" w:type="dxa"/>
            <w:left w:w="108" w:type="dxa"/>
            <w:bottom w:w="0" w:type="dxa"/>
            <w:right w:w="108" w:type="dxa"/>
          </w:tblCellMar>
        </w:tblPrEx>
        <w:trPr>
          <w:trHeight w:val="90" w:hRule="atLeast"/>
        </w:trPr>
        <w:tc>
          <w:tcPr>
            <w:tcW w:w="9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812"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临时措施</w:t>
            </w:r>
          </w:p>
        </w:tc>
        <w:tc>
          <w:tcPr>
            <w:tcW w:w="204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 xml:space="preserve">0.00 </w:t>
            </w: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水土保持补偿费</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1.41</w:t>
            </w:r>
          </w:p>
        </w:tc>
      </w:tr>
      <w:tr>
        <w:tblPrEx>
          <w:tblCellMar>
            <w:top w:w="0" w:type="dxa"/>
            <w:left w:w="108" w:type="dxa"/>
            <w:bottom w:w="0" w:type="dxa"/>
            <w:right w:w="108" w:type="dxa"/>
          </w:tblCellMar>
        </w:tblPrEx>
        <w:trPr>
          <w:trHeight w:val="90" w:hRule="atLeast"/>
        </w:trPr>
        <w:tc>
          <w:tcPr>
            <w:tcW w:w="9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812"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独立费用</w:t>
            </w:r>
          </w:p>
        </w:tc>
        <w:tc>
          <w:tcPr>
            <w:tcW w:w="204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建设管理费</w:t>
            </w:r>
          </w:p>
        </w:tc>
        <w:tc>
          <w:tcPr>
            <w:tcW w:w="4326"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default" w:ascii="仿宋" w:hAnsi="仿宋" w:eastAsia="仿宋" w:cs="仿宋"/>
                <w:kern w:val="0"/>
                <w:sz w:val="21"/>
                <w:szCs w:val="21"/>
                <w:lang w:val="en-US" w:eastAsia="zh-CN"/>
              </w:rPr>
              <w:t>2.79</w:t>
            </w:r>
          </w:p>
        </w:tc>
      </w:tr>
      <w:tr>
        <w:tblPrEx>
          <w:tblCellMar>
            <w:top w:w="0" w:type="dxa"/>
            <w:left w:w="108" w:type="dxa"/>
            <w:bottom w:w="0" w:type="dxa"/>
            <w:right w:w="108" w:type="dxa"/>
          </w:tblCellMar>
        </w:tblPrEx>
        <w:trPr>
          <w:trHeight w:val="90" w:hRule="atLeast"/>
        </w:trPr>
        <w:tc>
          <w:tcPr>
            <w:tcW w:w="9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812"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04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水土保持监理费</w:t>
            </w:r>
          </w:p>
        </w:tc>
        <w:tc>
          <w:tcPr>
            <w:tcW w:w="4326"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4.00</w:t>
            </w:r>
          </w:p>
        </w:tc>
      </w:tr>
      <w:tr>
        <w:tblPrEx>
          <w:tblCellMar>
            <w:top w:w="0" w:type="dxa"/>
            <w:left w:w="108" w:type="dxa"/>
            <w:bottom w:w="0" w:type="dxa"/>
            <w:right w:w="108" w:type="dxa"/>
          </w:tblCellMar>
        </w:tblPrEx>
        <w:trPr>
          <w:trHeight w:val="90" w:hRule="atLeast"/>
        </w:trPr>
        <w:tc>
          <w:tcPr>
            <w:tcW w:w="9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812"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04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设计费</w:t>
            </w:r>
          </w:p>
        </w:tc>
        <w:tc>
          <w:tcPr>
            <w:tcW w:w="4326"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4.86</w:t>
            </w:r>
          </w:p>
        </w:tc>
      </w:tr>
      <w:tr>
        <w:tblPrEx>
          <w:tblCellMar>
            <w:top w:w="0" w:type="dxa"/>
            <w:left w:w="108" w:type="dxa"/>
            <w:bottom w:w="0" w:type="dxa"/>
            <w:right w:w="108" w:type="dxa"/>
          </w:tblCellMar>
        </w:tblPrEx>
        <w:trPr>
          <w:trHeight w:val="90" w:hRule="atLeast"/>
        </w:trPr>
        <w:tc>
          <w:tcPr>
            <w:tcW w:w="91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c>
          <w:tcPr>
            <w:tcW w:w="2812"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总投资</w:t>
            </w:r>
          </w:p>
        </w:tc>
        <w:tc>
          <w:tcPr>
            <w:tcW w:w="6370"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default" w:ascii="仿宋" w:hAnsi="仿宋" w:eastAsia="仿宋" w:cs="仿宋"/>
                <w:kern w:val="0"/>
                <w:sz w:val="21"/>
                <w:szCs w:val="21"/>
                <w:lang w:val="en-US" w:eastAsia="zh-CN"/>
              </w:rPr>
              <w:t>171.</w:t>
            </w:r>
            <w:r>
              <w:rPr>
                <w:rFonts w:hint="eastAsia" w:ascii="仿宋" w:hAnsi="仿宋" w:eastAsia="仿宋" w:cs="仿宋"/>
                <w:kern w:val="0"/>
                <w:sz w:val="21"/>
                <w:szCs w:val="21"/>
                <w:lang w:val="en-US" w:eastAsia="zh-CN"/>
              </w:rPr>
              <w:t>68</w:t>
            </w:r>
          </w:p>
        </w:tc>
      </w:tr>
      <w:tr>
        <w:tblPrEx>
          <w:tblCellMar>
            <w:top w:w="0" w:type="dxa"/>
            <w:left w:w="108" w:type="dxa"/>
            <w:bottom w:w="0" w:type="dxa"/>
            <w:right w:w="108" w:type="dxa"/>
          </w:tblCellMar>
        </w:tblPrEx>
        <w:trPr>
          <w:trHeight w:val="90" w:hRule="atLeast"/>
        </w:trPr>
        <w:tc>
          <w:tcPr>
            <w:tcW w:w="23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方案编制单位</w:t>
            </w:r>
          </w:p>
        </w:tc>
        <w:tc>
          <w:tcPr>
            <w:tcW w:w="3439"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山西卓东工程技术开发有限公司</w:t>
            </w: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建设单位</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曲沃县自得建材有限公司</w:t>
            </w:r>
          </w:p>
        </w:tc>
      </w:tr>
      <w:tr>
        <w:tblPrEx>
          <w:tblCellMar>
            <w:top w:w="0" w:type="dxa"/>
            <w:left w:w="108" w:type="dxa"/>
            <w:bottom w:w="0" w:type="dxa"/>
            <w:right w:w="108" w:type="dxa"/>
          </w:tblCellMar>
        </w:tblPrEx>
        <w:trPr>
          <w:trHeight w:val="90" w:hRule="atLeast"/>
        </w:trPr>
        <w:tc>
          <w:tcPr>
            <w:tcW w:w="23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法定代表人</w:t>
            </w:r>
          </w:p>
        </w:tc>
        <w:tc>
          <w:tcPr>
            <w:tcW w:w="3439"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吴建峰</w:t>
            </w: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法定代表人</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李 涛</w:t>
            </w:r>
          </w:p>
        </w:tc>
      </w:tr>
      <w:tr>
        <w:tblPrEx>
          <w:tblCellMar>
            <w:top w:w="0" w:type="dxa"/>
            <w:left w:w="108" w:type="dxa"/>
            <w:bottom w:w="0" w:type="dxa"/>
            <w:right w:w="108" w:type="dxa"/>
          </w:tblCellMar>
        </w:tblPrEx>
        <w:trPr>
          <w:trHeight w:val="90" w:hRule="atLeast"/>
        </w:trPr>
        <w:tc>
          <w:tcPr>
            <w:tcW w:w="23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地址</w:t>
            </w:r>
          </w:p>
        </w:tc>
        <w:tc>
          <w:tcPr>
            <w:tcW w:w="3439"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临汾市尧都区</w:t>
            </w: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地址</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曲沃县</w:t>
            </w:r>
          </w:p>
        </w:tc>
      </w:tr>
      <w:tr>
        <w:tblPrEx>
          <w:tblCellMar>
            <w:top w:w="0" w:type="dxa"/>
            <w:left w:w="108" w:type="dxa"/>
            <w:bottom w:w="0" w:type="dxa"/>
            <w:right w:w="108" w:type="dxa"/>
          </w:tblCellMar>
        </w:tblPrEx>
        <w:trPr>
          <w:trHeight w:val="90" w:hRule="atLeast"/>
        </w:trPr>
        <w:tc>
          <w:tcPr>
            <w:tcW w:w="23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邮编</w:t>
            </w:r>
          </w:p>
        </w:tc>
        <w:tc>
          <w:tcPr>
            <w:tcW w:w="3439"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041000</w:t>
            </w: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邮编</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041600</w:t>
            </w:r>
          </w:p>
        </w:tc>
      </w:tr>
      <w:tr>
        <w:tblPrEx>
          <w:tblCellMar>
            <w:top w:w="0" w:type="dxa"/>
            <w:left w:w="108" w:type="dxa"/>
            <w:bottom w:w="0" w:type="dxa"/>
            <w:right w:w="108" w:type="dxa"/>
          </w:tblCellMar>
        </w:tblPrEx>
        <w:trPr>
          <w:trHeight w:val="90" w:hRule="atLeast"/>
        </w:trPr>
        <w:tc>
          <w:tcPr>
            <w:tcW w:w="23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联系人及电话</w:t>
            </w:r>
          </w:p>
        </w:tc>
        <w:tc>
          <w:tcPr>
            <w:tcW w:w="3439"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吴建峰  13603579521</w:t>
            </w: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联系人及电话</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李 涛15235702220</w:t>
            </w:r>
          </w:p>
        </w:tc>
      </w:tr>
      <w:tr>
        <w:tblPrEx>
          <w:tblCellMar>
            <w:top w:w="0" w:type="dxa"/>
            <w:left w:w="108" w:type="dxa"/>
            <w:bottom w:w="0" w:type="dxa"/>
            <w:right w:w="108" w:type="dxa"/>
          </w:tblCellMar>
        </w:tblPrEx>
        <w:trPr>
          <w:trHeight w:val="90" w:hRule="atLeast"/>
        </w:trPr>
        <w:tc>
          <w:tcPr>
            <w:tcW w:w="23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电子邮箱</w:t>
            </w:r>
          </w:p>
        </w:tc>
        <w:tc>
          <w:tcPr>
            <w:tcW w:w="3439" w:type="dxa"/>
            <w:gridSpan w:val="3"/>
            <w:tcBorders>
              <w:top w:val="single" w:color="auto" w:sz="4" w:space="0"/>
              <w:left w:val="nil"/>
              <w:bottom w:val="single" w:color="auto"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电子邮箱</w:t>
            </w:r>
          </w:p>
        </w:tc>
        <w:tc>
          <w:tcPr>
            <w:tcW w:w="2289"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snapToGrid w:val="0"/>
              <w:spacing w:line="240" w:lineRule="auto"/>
              <w:jc w:val="left"/>
              <w:textAlignment w:val="auto"/>
              <w:rPr>
                <w:rFonts w:hint="eastAsia" w:ascii="仿宋" w:hAnsi="仿宋" w:eastAsia="仿宋" w:cs="仿宋"/>
                <w:kern w:val="0"/>
                <w:sz w:val="21"/>
                <w:szCs w:val="21"/>
              </w:rPr>
            </w:pPr>
          </w:p>
        </w:tc>
      </w:tr>
      <w:tr>
        <w:tblPrEx>
          <w:tblCellMar>
            <w:top w:w="0" w:type="dxa"/>
            <w:left w:w="108" w:type="dxa"/>
            <w:bottom w:w="0" w:type="dxa"/>
            <w:right w:w="108" w:type="dxa"/>
          </w:tblCellMar>
        </w:tblPrEx>
        <w:trPr>
          <w:trHeight w:val="90" w:hRule="atLeast"/>
        </w:trPr>
        <w:tc>
          <w:tcPr>
            <w:tcW w:w="23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传真</w:t>
            </w:r>
          </w:p>
        </w:tc>
        <w:tc>
          <w:tcPr>
            <w:tcW w:w="3439"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c>
          <w:tcPr>
            <w:tcW w:w="203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r>
              <w:rPr>
                <w:rFonts w:hint="eastAsia" w:ascii="仿宋" w:hAnsi="仿宋" w:eastAsia="仿宋" w:cs="仿宋"/>
                <w:kern w:val="0"/>
                <w:sz w:val="21"/>
                <w:szCs w:val="21"/>
              </w:rPr>
              <w:t>传真</w:t>
            </w:r>
          </w:p>
        </w:tc>
        <w:tc>
          <w:tcPr>
            <w:tcW w:w="2289"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val="0"/>
              <w:spacing w:line="240" w:lineRule="auto"/>
              <w:jc w:val="center"/>
              <w:textAlignment w:val="auto"/>
              <w:rPr>
                <w:rFonts w:hint="eastAsia" w:ascii="仿宋" w:hAnsi="仿宋" w:eastAsia="仿宋" w:cs="仿宋"/>
                <w:kern w:val="0"/>
                <w:sz w:val="21"/>
                <w:szCs w:val="21"/>
              </w:rPr>
            </w:pPr>
          </w:p>
        </w:tc>
      </w:tr>
    </w:tbl>
    <w:p>
      <w:pPr>
        <w:pStyle w:val="39"/>
        <w:spacing w:line="240" w:lineRule="auto"/>
        <w:ind w:firstLine="1054" w:firstLineChars="350"/>
        <w:outlineLvl w:val="9"/>
      </w:pPr>
    </w:p>
    <w:p>
      <w:pPr>
        <w:pStyle w:val="2"/>
        <w:snapToGrid w:val="0"/>
        <w:ind w:firstLine="620"/>
        <w:jc w:val="center"/>
        <w:rPr>
          <w:rFonts w:hint="eastAsia"/>
        </w:rPr>
      </w:pPr>
    </w:p>
    <w:p>
      <w:pPr>
        <w:pStyle w:val="2"/>
        <w:snapToGrid w:val="0"/>
        <w:ind w:firstLine="620"/>
        <w:jc w:val="center"/>
        <w:rPr>
          <w:rFonts w:hint="eastAsia" w:cs="Times New Roman" w:asciiTheme="minorEastAsia" w:hAnsiTheme="minorEastAsia"/>
          <w:b/>
          <w:kern w:val="0"/>
          <w:sz w:val="28"/>
          <w:szCs w:val="28"/>
        </w:rPr>
      </w:pPr>
    </w:p>
    <w:p>
      <w:pPr>
        <w:snapToGrid w:val="0"/>
        <w:jc w:val="center"/>
        <w:rPr>
          <w:rFonts w:hint="eastAsia" w:cs="Times New Roman" w:asciiTheme="minorEastAsia" w:hAnsiTheme="minorEastAsia"/>
          <w:b/>
          <w:kern w:val="0"/>
          <w:sz w:val="28"/>
          <w:szCs w:val="28"/>
        </w:rPr>
      </w:pPr>
      <w:r>
        <w:rPr>
          <w:rFonts w:hint="eastAsia" w:cs="Times New Roman" w:asciiTheme="minorEastAsia" w:hAnsiTheme="minorEastAsia"/>
          <w:b/>
          <w:kern w:val="0"/>
          <w:sz w:val="28"/>
          <w:szCs w:val="28"/>
        </w:rPr>
        <w:t>曲沃县自得建材有限公司年开采加工12万吨建筑石料加工技术改造项目</w:t>
      </w:r>
    </w:p>
    <w:p>
      <w:pPr>
        <w:snapToGrid w:val="0"/>
        <w:jc w:val="center"/>
        <w:rPr>
          <w:rFonts w:hint="eastAsia" w:cs="Times New Roman" w:asciiTheme="minorEastAsia" w:hAnsiTheme="minorEastAsia"/>
          <w:b/>
          <w:kern w:val="0"/>
          <w:sz w:val="28"/>
          <w:szCs w:val="28"/>
        </w:rPr>
      </w:pPr>
    </w:p>
    <w:p>
      <w:pPr>
        <w:snapToGrid w:val="0"/>
        <w:jc w:val="center"/>
        <w:rPr>
          <w:rFonts w:ascii="黑体" w:hAnsi="黑体" w:eastAsia="黑体" w:cs="Times New Roman"/>
          <w:spacing w:val="20"/>
          <w:sz w:val="84"/>
          <w:szCs w:val="84"/>
        </w:rPr>
      </w:pPr>
      <w:r>
        <w:rPr>
          <w:rFonts w:ascii="黑体" w:hAnsi="黑体" w:eastAsia="黑体" w:cs="Times New Roman"/>
          <w:spacing w:val="20"/>
          <w:sz w:val="72"/>
          <w:szCs w:val="72"/>
        </w:rPr>
        <w:t>水土保持方案报告</w:t>
      </w:r>
      <w:r>
        <w:rPr>
          <w:rFonts w:hint="eastAsia" w:ascii="黑体" w:hAnsi="黑体" w:eastAsia="黑体" w:cs="Times New Roman"/>
          <w:spacing w:val="20"/>
          <w:sz w:val="72"/>
          <w:szCs w:val="72"/>
        </w:rPr>
        <w:t>表说明</w:t>
      </w:r>
    </w:p>
    <w:p>
      <w:pPr>
        <w:jc w:val="center"/>
        <w:rPr>
          <w:rFonts w:cs="Times New Roman"/>
          <w:bCs/>
          <w:sz w:val="32"/>
          <w:szCs w:val="72"/>
        </w:rPr>
      </w:pPr>
    </w:p>
    <w:p>
      <w:pPr>
        <w:jc w:val="center"/>
        <w:rPr>
          <w:rFonts w:eastAsia="方正魏碑简体"/>
          <w:sz w:val="36"/>
          <w:szCs w:val="36"/>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hint="eastAsia" w:cs="Times New Roman"/>
          <w:b/>
          <w:bCs/>
          <w:sz w:val="32"/>
          <w:szCs w:val="72"/>
        </w:rPr>
      </w:pPr>
    </w:p>
    <w:p>
      <w:pPr>
        <w:pStyle w:val="2"/>
        <w:ind w:firstLine="620"/>
        <w:jc w:val="center"/>
        <w:rPr>
          <w:rFonts w:hint="eastAsia"/>
        </w:rPr>
      </w:pPr>
    </w:p>
    <w:p>
      <w:pPr>
        <w:pStyle w:val="2"/>
        <w:ind w:firstLine="620"/>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jc w:val="center"/>
        <w:rPr>
          <w:rFonts w:cs="Times New Roman"/>
          <w:b/>
          <w:bCs/>
          <w:sz w:val="32"/>
          <w:szCs w:val="72"/>
        </w:rPr>
      </w:pPr>
    </w:p>
    <w:p>
      <w:pPr>
        <w:ind w:firstLine="456" w:firstLineChars="152"/>
        <w:rPr>
          <w:rFonts w:cs="Times New Roman" w:asciiTheme="minorEastAsia" w:hAnsiTheme="minorEastAsia"/>
          <w:bCs/>
          <w:spacing w:val="-10"/>
          <w:sz w:val="32"/>
          <w:szCs w:val="32"/>
        </w:rPr>
      </w:pPr>
      <w:r>
        <w:rPr>
          <w:rFonts w:cs="Times New Roman" w:asciiTheme="minorEastAsia" w:hAnsiTheme="minorEastAsia"/>
          <w:bCs/>
          <w:spacing w:val="-10"/>
          <w:sz w:val="32"/>
          <w:szCs w:val="32"/>
        </w:rPr>
        <w:t>建设单位：</w:t>
      </w:r>
      <w:r>
        <w:rPr>
          <w:rFonts w:hint="eastAsia" w:cs="Times New Roman" w:asciiTheme="minorEastAsia" w:hAnsiTheme="minorEastAsia"/>
          <w:bCs/>
          <w:spacing w:val="-10"/>
          <w:sz w:val="32"/>
          <w:szCs w:val="32"/>
        </w:rPr>
        <w:t>曲沃县自得建材有限公司</w:t>
      </w:r>
    </w:p>
    <w:p>
      <w:pPr>
        <w:ind w:firstLine="462" w:firstLineChars="152"/>
        <w:rPr>
          <w:rFonts w:cs="Times New Roman" w:asciiTheme="minorEastAsia" w:hAnsiTheme="minorEastAsia"/>
          <w:bCs/>
          <w:spacing w:val="-8"/>
          <w:sz w:val="32"/>
          <w:szCs w:val="32"/>
        </w:rPr>
      </w:pPr>
      <w:r>
        <w:rPr>
          <w:rFonts w:cs="Times New Roman" w:asciiTheme="minorEastAsia" w:hAnsiTheme="minorEastAsia"/>
          <w:bCs/>
          <w:spacing w:val="-8"/>
          <w:sz w:val="32"/>
          <w:szCs w:val="32"/>
        </w:rPr>
        <w:t>编制单位：</w:t>
      </w:r>
      <w:r>
        <w:rPr>
          <w:rFonts w:hint="eastAsia" w:cs="Times New Roman" w:asciiTheme="minorEastAsia" w:hAnsiTheme="minorEastAsia"/>
          <w:bCs/>
          <w:spacing w:val="-8"/>
          <w:sz w:val="32"/>
          <w:szCs w:val="32"/>
        </w:rPr>
        <w:t>山西卓东工程技术开发有限公司</w:t>
      </w:r>
    </w:p>
    <w:p>
      <w:pPr>
        <w:rPr>
          <w:rFonts w:hint="eastAsia" w:cs="Times New Roman" w:asciiTheme="minorEastAsia" w:hAnsiTheme="minorEastAsia"/>
          <w:kern w:val="0"/>
          <w:sz w:val="28"/>
          <w:szCs w:val="28"/>
          <w:lang w:eastAsia="zh-CN"/>
        </w:rPr>
      </w:pPr>
      <w:r>
        <w:rPr>
          <w:rFonts w:hint="eastAsia" w:cs="Times New Roman" w:asciiTheme="minorEastAsia" w:hAnsiTheme="minorEastAsia"/>
          <w:kern w:val="0"/>
          <w:sz w:val="28"/>
          <w:szCs w:val="28"/>
          <w:lang w:eastAsia="zh-CN"/>
        </w:rPr>
        <w:br w:type="page"/>
      </w:r>
    </w:p>
    <w:p>
      <w:pPr>
        <w:spacing w:beforeLines="50" w:line="160" w:lineRule="atLeast"/>
        <w:jc w:val="center"/>
        <w:rPr>
          <w:rFonts w:hint="eastAsia" w:cs="Times New Roman" w:asciiTheme="minorEastAsia" w:hAnsiTheme="minorEastAsia"/>
          <w:kern w:val="0"/>
          <w:sz w:val="28"/>
          <w:szCs w:val="28"/>
        </w:rPr>
      </w:pPr>
    </w:p>
    <w:p>
      <w:pPr>
        <w:spacing w:beforeLines="50" w:line="160" w:lineRule="atLeast"/>
        <w:jc w:val="center"/>
        <w:rPr>
          <w:rFonts w:cs="Times New Roman" w:asciiTheme="minorEastAsia" w:hAnsiTheme="minorEastAsia"/>
          <w:kern w:val="0"/>
          <w:sz w:val="28"/>
          <w:szCs w:val="28"/>
        </w:rPr>
      </w:pPr>
      <w:r>
        <w:rPr>
          <w:rFonts w:hint="eastAsia" w:cs="Times New Roman" w:asciiTheme="minorEastAsia" w:hAnsiTheme="minorEastAsia"/>
          <w:kern w:val="0"/>
          <w:sz w:val="28"/>
          <w:szCs w:val="28"/>
        </w:rPr>
        <w:t>曲沃县自得建材有限公司年开采加工12万吨建筑石料加工技术改造项目</w:t>
      </w:r>
      <w:r>
        <w:rPr>
          <w:rFonts w:cs="Times New Roman" w:asciiTheme="minorEastAsia" w:hAnsiTheme="minorEastAsia"/>
          <w:kern w:val="0"/>
          <w:sz w:val="28"/>
          <w:szCs w:val="28"/>
        </w:rPr>
        <w:t>水土保持方案报告</w:t>
      </w:r>
      <w:r>
        <w:rPr>
          <w:rFonts w:hint="eastAsia" w:cs="Times New Roman" w:asciiTheme="minorEastAsia" w:hAnsiTheme="minorEastAsia"/>
          <w:kern w:val="0"/>
          <w:sz w:val="28"/>
          <w:szCs w:val="28"/>
        </w:rPr>
        <w:t>表</w:t>
      </w:r>
    </w:p>
    <w:p>
      <w:pPr>
        <w:pStyle w:val="39"/>
        <w:spacing w:line="240" w:lineRule="auto"/>
        <w:jc w:val="center"/>
        <w:outlineLvl w:val="9"/>
        <w:rPr>
          <w:rFonts w:hint="eastAsia" w:asciiTheme="minorEastAsia" w:hAnsiTheme="minorEastAsia" w:eastAsiaTheme="minorEastAsia"/>
          <w:b w:val="0"/>
          <w:sz w:val="28"/>
          <w:szCs w:val="28"/>
        </w:rPr>
      </w:pPr>
    </w:p>
    <w:p>
      <w:pPr>
        <w:pStyle w:val="39"/>
        <w:spacing w:line="240" w:lineRule="auto"/>
        <w:jc w:val="center"/>
        <w:rPr>
          <w:rFonts w:asciiTheme="minorEastAsia" w:hAnsiTheme="minorEastAsia" w:eastAsiaTheme="minorEastAsia"/>
          <w:b w:val="0"/>
          <w:sz w:val="28"/>
          <w:szCs w:val="28"/>
        </w:rPr>
      </w:pPr>
      <w:bookmarkStart w:id="1" w:name="_Toc16953"/>
      <w:r>
        <w:rPr>
          <w:rFonts w:hint="eastAsia" w:asciiTheme="minorEastAsia" w:hAnsiTheme="minorEastAsia" w:eastAsiaTheme="minorEastAsia"/>
          <w:b w:val="0"/>
          <w:sz w:val="28"/>
          <w:szCs w:val="28"/>
        </w:rPr>
        <w:t>责任页</w:t>
      </w:r>
      <w:bookmarkEnd w:id="1"/>
    </w:p>
    <w:p>
      <w:pPr>
        <w:pStyle w:val="39"/>
        <w:jc w:val="center"/>
        <w:rPr>
          <w:rFonts w:hint="eastAsia" w:eastAsia="方正小标宋简体"/>
          <w:bCs/>
          <w:spacing w:val="-8"/>
          <w:szCs w:val="30"/>
          <w:lang w:eastAsia="zh-CN"/>
        </w:rPr>
      </w:pPr>
      <w:bookmarkStart w:id="2" w:name="_Toc1036"/>
      <w:r>
        <w:rPr>
          <w:rFonts w:hint="eastAsia" w:asciiTheme="minorEastAsia" w:hAnsiTheme="minorEastAsia" w:eastAsiaTheme="minorEastAsia"/>
          <w:b w:val="0"/>
          <w:bCs/>
          <w:spacing w:val="-8"/>
          <w:sz w:val="28"/>
          <w:szCs w:val="28"/>
          <w:lang w:eastAsia="zh-CN"/>
        </w:rPr>
        <w:t>山西卓东工程技术开发有限公司</w:t>
      </w:r>
      <w:bookmarkEnd w:id="2"/>
    </w:p>
    <w:p>
      <w:pPr>
        <w:pStyle w:val="39"/>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eastAsia="方正小标宋简体"/>
          <w:bCs/>
          <w:spacing w:val="-8"/>
          <w:szCs w:val="30"/>
        </w:rPr>
      </w:pPr>
    </w:p>
    <w:p>
      <w:pPr>
        <w:pStyle w:val="39"/>
        <w:keepNext w:val="0"/>
        <w:keepLines w:val="0"/>
        <w:pageBreakBefore w:val="0"/>
        <w:widowControl w:val="0"/>
        <w:kinsoku/>
        <w:wordWrap/>
        <w:overflowPunct/>
        <w:topLinePunct w:val="0"/>
        <w:autoSpaceDE/>
        <w:autoSpaceDN/>
        <w:bidi w:val="0"/>
        <w:adjustRightInd w:val="0"/>
        <w:snapToGrid w:val="0"/>
        <w:spacing w:line="240" w:lineRule="auto"/>
        <w:ind w:firstLine="924" w:firstLineChars="350"/>
        <w:textAlignment w:val="auto"/>
        <w:rPr>
          <w:rFonts w:hint="eastAsia" w:asciiTheme="minorEastAsia" w:hAnsiTheme="minorEastAsia" w:eastAsiaTheme="minorEastAsia"/>
          <w:b w:val="0"/>
          <w:bCs/>
          <w:spacing w:val="-8"/>
          <w:sz w:val="28"/>
          <w:szCs w:val="30"/>
          <w:lang w:eastAsia="zh-CN"/>
        </w:rPr>
      </w:pPr>
      <w:bookmarkStart w:id="3" w:name="_Toc12042"/>
      <w:r>
        <w:rPr>
          <w:rFonts w:hint="eastAsia" w:asciiTheme="minorEastAsia" w:hAnsiTheme="minorEastAsia" w:eastAsiaTheme="minorEastAsia"/>
          <w:b w:val="0"/>
          <w:bCs/>
          <w:spacing w:val="-8"/>
          <w:sz w:val="28"/>
          <w:szCs w:val="30"/>
          <w:lang w:eastAsia="zh-CN"/>
        </w:rPr>
        <w:t>批</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准：</w:t>
      </w:r>
      <w:bookmarkEnd w:id="3"/>
    </w:p>
    <w:p>
      <w:pPr>
        <w:pStyle w:val="39"/>
        <w:keepNext w:val="0"/>
        <w:keepLines w:val="0"/>
        <w:pageBreakBefore w:val="0"/>
        <w:widowControl w:val="0"/>
        <w:kinsoku/>
        <w:wordWrap/>
        <w:overflowPunct/>
        <w:topLinePunct w:val="0"/>
        <w:autoSpaceDE/>
        <w:autoSpaceDN/>
        <w:bidi w:val="0"/>
        <w:adjustRightInd w:val="0"/>
        <w:snapToGrid w:val="0"/>
        <w:spacing w:line="240" w:lineRule="auto"/>
        <w:ind w:firstLine="924" w:firstLineChars="350"/>
        <w:textAlignment w:val="auto"/>
        <w:outlineLvl w:val="9"/>
        <w:rPr>
          <w:rFonts w:hint="eastAsia" w:asciiTheme="minorEastAsia" w:hAnsiTheme="minorEastAsia" w:eastAsiaTheme="minorEastAsia"/>
          <w:b w:val="0"/>
          <w:bCs/>
          <w:spacing w:val="-8"/>
          <w:sz w:val="28"/>
          <w:szCs w:val="30"/>
          <w:lang w:eastAsia="zh-CN"/>
        </w:rPr>
      </w:pPr>
    </w:p>
    <w:p>
      <w:pPr>
        <w:pStyle w:val="39"/>
        <w:keepNext w:val="0"/>
        <w:keepLines w:val="0"/>
        <w:pageBreakBefore w:val="0"/>
        <w:widowControl w:val="0"/>
        <w:kinsoku/>
        <w:wordWrap/>
        <w:overflowPunct/>
        <w:topLinePunct w:val="0"/>
        <w:autoSpaceDE/>
        <w:autoSpaceDN/>
        <w:bidi w:val="0"/>
        <w:adjustRightInd w:val="0"/>
        <w:snapToGrid w:val="0"/>
        <w:spacing w:line="240" w:lineRule="auto"/>
        <w:ind w:firstLine="924" w:firstLineChars="350"/>
        <w:textAlignment w:val="auto"/>
        <w:outlineLvl w:val="9"/>
        <w:rPr>
          <w:rFonts w:hint="eastAsia" w:asciiTheme="minorEastAsia" w:hAnsiTheme="minorEastAsia" w:eastAsiaTheme="minorEastAsia"/>
          <w:b w:val="0"/>
          <w:bCs/>
          <w:spacing w:val="-8"/>
          <w:sz w:val="28"/>
          <w:szCs w:val="30"/>
          <w:lang w:eastAsia="zh-CN"/>
        </w:rPr>
      </w:pPr>
    </w:p>
    <w:p>
      <w:pPr>
        <w:pStyle w:val="39"/>
        <w:keepNext w:val="0"/>
        <w:keepLines w:val="0"/>
        <w:pageBreakBefore w:val="0"/>
        <w:widowControl w:val="0"/>
        <w:kinsoku/>
        <w:wordWrap/>
        <w:overflowPunct/>
        <w:topLinePunct w:val="0"/>
        <w:autoSpaceDE/>
        <w:autoSpaceDN/>
        <w:bidi w:val="0"/>
        <w:adjustRightInd w:val="0"/>
        <w:snapToGrid w:val="0"/>
        <w:spacing w:line="240" w:lineRule="auto"/>
        <w:ind w:firstLine="924" w:firstLineChars="350"/>
        <w:textAlignment w:val="auto"/>
        <w:rPr>
          <w:rFonts w:hint="eastAsia" w:asciiTheme="minorEastAsia" w:hAnsiTheme="minorEastAsia" w:eastAsiaTheme="minorEastAsia"/>
          <w:b w:val="0"/>
          <w:bCs/>
          <w:spacing w:val="-8"/>
          <w:sz w:val="28"/>
          <w:szCs w:val="30"/>
          <w:lang w:eastAsia="zh-CN"/>
        </w:rPr>
      </w:pPr>
      <w:bookmarkStart w:id="4" w:name="_Toc8532"/>
      <w:r>
        <w:rPr>
          <w:rFonts w:hint="eastAsia" w:asciiTheme="minorEastAsia" w:hAnsiTheme="minorEastAsia" w:eastAsiaTheme="minorEastAsia"/>
          <w:b w:val="0"/>
          <w:bCs/>
          <w:spacing w:val="-8"/>
          <w:sz w:val="28"/>
          <w:szCs w:val="30"/>
          <w:lang w:eastAsia="zh-CN"/>
        </w:rPr>
        <w:t>核</w:t>
      </w:r>
      <w:r>
        <w:rPr>
          <w:rFonts w:hint="eastAsia" w:asciiTheme="minorEastAsia" w:hAnsiTheme="minorEastAsia" w:eastAsiaTheme="minorEastAsia"/>
          <w:b w:val="0"/>
          <w:bCs/>
          <w:spacing w:val="-8"/>
          <w:sz w:val="28"/>
          <w:szCs w:val="30"/>
          <w:lang w:val="en-US" w:eastAsia="zh-CN"/>
        </w:rPr>
        <w:t xml:space="preserve">      </w:t>
      </w:r>
      <w:r>
        <w:rPr>
          <w:rFonts w:hint="eastAsia" w:asciiTheme="minorEastAsia" w:hAnsiTheme="minorEastAsia" w:eastAsiaTheme="minorEastAsia"/>
          <w:b w:val="0"/>
          <w:bCs/>
          <w:spacing w:val="-8"/>
          <w:sz w:val="28"/>
          <w:szCs w:val="30"/>
          <w:lang w:eastAsia="zh-CN"/>
        </w:rPr>
        <w:t>定：</w:t>
      </w:r>
      <w:bookmarkEnd w:id="4"/>
    </w:p>
    <w:p>
      <w:pPr>
        <w:pStyle w:val="39"/>
        <w:keepNext w:val="0"/>
        <w:keepLines w:val="0"/>
        <w:pageBreakBefore w:val="0"/>
        <w:widowControl w:val="0"/>
        <w:kinsoku/>
        <w:wordWrap/>
        <w:overflowPunct/>
        <w:topLinePunct w:val="0"/>
        <w:autoSpaceDE/>
        <w:autoSpaceDN/>
        <w:bidi w:val="0"/>
        <w:adjustRightInd w:val="0"/>
        <w:snapToGrid w:val="0"/>
        <w:spacing w:line="240" w:lineRule="auto"/>
        <w:ind w:firstLine="924" w:firstLineChars="350"/>
        <w:textAlignment w:val="auto"/>
        <w:outlineLvl w:val="9"/>
        <w:rPr>
          <w:rFonts w:hint="eastAsia" w:asciiTheme="minorEastAsia" w:hAnsiTheme="minorEastAsia" w:eastAsiaTheme="minorEastAsia"/>
          <w:b w:val="0"/>
          <w:bCs/>
          <w:spacing w:val="-8"/>
          <w:sz w:val="28"/>
          <w:szCs w:val="30"/>
        </w:rPr>
      </w:pPr>
    </w:p>
    <w:p>
      <w:pPr>
        <w:pStyle w:val="39"/>
        <w:keepNext w:val="0"/>
        <w:keepLines w:val="0"/>
        <w:pageBreakBefore w:val="0"/>
        <w:widowControl w:val="0"/>
        <w:kinsoku/>
        <w:wordWrap/>
        <w:overflowPunct/>
        <w:topLinePunct w:val="0"/>
        <w:autoSpaceDE/>
        <w:autoSpaceDN/>
        <w:bidi w:val="0"/>
        <w:adjustRightInd w:val="0"/>
        <w:snapToGrid w:val="0"/>
        <w:spacing w:line="240" w:lineRule="auto"/>
        <w:ind w:firstLine="924" w:firstLineChars="350"/>
        <w:textAlignment w:val="auto"/>
        <w:outlineLvl w:val="9"/>
        <w:rPr>
          <w:rFonts w:hint="eastAsia" w:asciiTheme="minorEastAsia" w:hAnsiTheme="minorEastAsia" w:eastAsiaTheme="minorEastAsia"/>
          <w:b w:val="0"/>
          <w:bCs/>
          <w:spacing w:val="-8"/>
          <w:sz w:val="28"/>
          <w:szCs w:val="30"/>
        </w:rPr>
      </w:pPr>
    </w:p>
    <w:p>
      <w:pPr>
        <w:pStyle w:val="39"/>
        <w:keepNext w:val="0"/>
        <w:keepLines w:val="0"/>
        <w:pageBreakBefore w:val="0"/>
        <w:widowControl w:val="0"/>
        <w:kinsoku/>
        <w:wordWrap/>
        <w:overflowPunct/>
        <w:topLinePunct w:val="0"/>
        <w:autoSpaceDE/>
        <w:autoSpaceDN/>
        <w:bidi w:val="0"/>
        <w:adjustRightInd w:val="0"/>
        <w:snapToGrid w:val="0"/>
        <w:spacing w:line="240" w:lineRule="auto"/>
        <w:ind w:firstLine="924" w:firstLineChars="350"/>
        <w:textAlignment w:val="auto"/>
        <w:rPr>
          <w:rFonts w:asciiTheme="minorEastAsia" w:hAnsiTheme="minorEastAsia" w:eastAsiaTheme="minorEastAsia"/>
          <w:b w:val="0"/>
          <w:bCs/>
          <w:spacing w:val="-8"/>
          <w:sz w:val="28"/>
          <w:szCs w:val="30"/>
        </w:rPr>
      </w:pPr>
      <w:bookmarkStart w:id="5" w:name="_Toc12425"/>
      <w:r>
        <w:rPr>
          <w:rFonts w:hint="eastAsia" w:asciiTheme="minorEastAsia" w:hAnsiTheme="minorEastAsia" w:eastAsiaTheme="minorEastAsia"/>
          <w:b w:val="0"/>
          <w:bCs/>
          <w:spacing w:val="-8"/>
          <w:sz w:val="28"/>
          <w:szCs w:val="30"/>
        </w:rPr>
        <w:t>审      查：</w:t>
      </w:r>
      <w:bookmarkEnd w:id="5"/>
    </w:p>
    <w:p>
      <w:pPr>
        <w:pStyle w:val="39"/>
        <w:ind w:firstLine="792" w:firstLineChars="300"/>
        <w:outlineLvl w:val="9"/>
        <w:rPr>
          <w:rFonts w:hint="eastAsia" w:asciiTheme="minorEastAsia" w:hAnsiTheme="minorEastAsia" w:eastAsiaTheme="minorEastAsia"/>
          <w:b w:val="0"/>
          <w:bCs/>
          <w:spacing w:val="-8"/>
          <w:sz w:val="28"/>
          <w:szCs w:val="30"/>
        </w:rPr>
      </w:pPr>
    </w:p>
    <w:p>
      <w:pPr>
        <w:pStyle w:val="39"/>
        <w:ind w:firstLine="792" w:firstLineChars="300"/>
        <w:rPr>
          <w:rFonts w:asciiTheme="minorEastAsia" w:hAnsiTheme="minorEastAsia" w:eastAsiaTheme="minorEastAsia"/>
          <w:b w:val="0"/>
          <w:bCs/>
          <w:spacing w:val="-8"/>
          <w:sz w:val="28"/>
          <w:szCs w:val="30"/>
        </w:rPr>
      </w:pPr>
      <w:bookmarkStart w:id="6" w:name="_Toc25503"/>
      <w:bookmarkStart w:id="139" w:name="_GoBack"/>
      <w:bookmarkEnd w:id="139"/>
      <w:r>
        <w:rPr>
          <w:rFonts w:hint="eastAsia" w:asciiTheme="minorEastAsia" w:hAnsiTheme="minorEastAsia" w:eastAsiaTheme="minorEastAsia"/>
          <w:b w:val="0"/>
          <w:bCs/>
          <w:spacing w:val="-8"/>
          <w:sz w:val="28"/>
          <w:szCs w:val="30"/>
        </w:rPr>
        <w:t>校      核：</w:t>
      </w:r>
      <w:bookmarkEnd w:id="6"/>
    </w:p>
    <w:p>
      <w:pPr>
        <w:pStyle w:val="39"/>
        <w:keepNext w:val="0"/>
        <w:keepLines w:val="0"/>
        <w:pageBreakBefore w:val="0"/>
        <w:widowControl w:val="0"/>
        <w:kinsoku/>
        <w:wordWrap/>
        <w:overflowPunct/>
        <w:topLinePunct w:val="0"/>
        <w:autoSpaceDE/>
        <w:autoSpaceDN/>
        <w:bidi w:val="0"/>
        <w:adjustRightInd w:val="0"/>
        <w:snapToGrid w:val="0"/>
        <w:spacing w:line="240" w:lineRule="auto"/>
        <w:ind w:firstLine="924" w:firstLineChars="350"/>
        <w:textAlignment w:val="auto"/>
        <w:outlineLvl w:val="9"/>
        <w:rPr>
          <w:rFonts w:hint="eastAsia" w:asciiTheme="minorEastAsia" w:hAnsiTheme="minorEastAsia" w:eastAsiaTheme="minorEastAsia"/>
          <w:b w:val="0"/>
          <w:bCs/>
          <w:spacing w:val="-8"/>
          <w:sz w:val="28"/>
          <w:szCs w:val="30"/>
        </w:rPr>
      </w:pPr>
    </w:p>
    <w:p>
      <w:pPr>
        <w:pStyle w:val="39"/>
        <w:keepNext w:val="0"/>
        <w:keepLines w:val="0"/>
        <w:pageBreakBefore w:val="0"/>
        <w:widowControl w:val="0"/>
        <w:kinsoku/>
        <w:wordWrap/>
        <w:overflowPunct/>
        <w:topLinePunct w:val="0"/>
        <w:autoSpaceDE/>
        <w:autoSpaceDN/>
        <w:bidi w:val="0"/>
        <w:adjustRightInd w:val="0"/>
        <w:snapToGrid w:val="0"/>
        <w:spacing w:line="240" w:lineRule="auto"/>
        <w:ind w:firstLine="924" w:firstLineChars="350"/>
        <w:textAlignment w:val="auto"/>
        <w:outlineLvl w:val="9"/>
        <w:rPr>
          <w:rFonts w:hint="eastAsia" w:asciiTheme="minorEastAsia" w:hAnsiTheme="minorEastAsia" w:eastAsiaTheme="minorEastAsia"/>
          <w:b w:val="0"/>
          <w:bCs/>
          <w:spacing w:val="-8"/>
          <w:sz w:val="28"/>
          <w:szCs w:val="30"/>
        </w:rPr>
      </w:pPr>
    </w:p>
    <w:p>
      <w:pPr>
        <w:pStyle w:val="39"/>
        <w:keepNext w:val="0"/>
        <w:keepLines w:val="0"/>
        <w:pageBreakBefore w:val="0"/>
        <w:widowControl w:val="0"/>
        <w:kinsoku/>
        <w:wordWrap/>
        <w:overflowPunct/>
        <w:topLinePunct w:val="0"/>
        <w:autoSpaceDE/>
        <w:autoSpaceDN/>
        <w:bidi w:val="0"/>
        <w:adjustRightInd w:val="0"/>
        <w:snapToGrid w:val="0"/>
        <w:spacing w:line="240" w:lineRule="auto"/>
        <w:ind w:firstLine="924" w:firstLineChars="350"/>
        <w:textAlignment w:val="auto"/>
        <w:rPr>
          <w:rFonts w:asciiTheme="minorEastAsia" w:hAnsiTheme="minorEastAsia" w:eastAsiaTheme="minorEastAsia"/>
          <w:b w:val="0"/>
          <w:bCs/>
          <w:spacing w:val="-8"/>
          <w:sz w:val="28"/>
          <w:szCs w:val="30"/>
        </w:rPr>
      </w:pPr>
      <w:bookmarkStart w:id="7" w:name="_Toc24137"/>
      <w:r>
        <w:rPr>
          <w:rFonts w:hint="eastAsia" w:asciiTheme="minorEastAsia" w:hAnsiTheme="minorEastAsia" w:eastAsiaTheme="minorEastAsia"/>
          <w:b w:val="0"/>
          <w:bCs/>
          <w:spacing w:val="-8"/>
          <w:sz w:val="28"/>
          <w:szCs w:val="30"/>
        </w:rPr>
        <w:t>项目负责人：</w:t>
      </w:r>
      <w:bookmarkEnd w:id="7"/>
    </w:p>
    <w:p>
      <w:pPr>
        <w:pStyle w:val="39"/>
        <w:ind w:firstLine="924" w:firstLineChars="350"/>
        <w:outlineLvl w:val="9"/>
        <w:rPr>
          <w:rFonts w:hint="eastAsia" w:asciiTheme="minorEastAsia" w:hAnsiTheme="minorEastAsia" w:eastAsiaTheme="minorEastAsia"/>
          <w:b w:val="0"/>
          <w:bCs/>
          <w:spacing w:val="-8"/>
          <w:sz w:val="28"/>
          <w:szCs w:val="30"/>
        </w:rPr>
      </w:pPr>
    </w:p>
    <w:p>
      <w:pPr>
        <w:pStyle w:val="39"/>
        <w:ind w:firstLine="924" w:firstLineChars="350"/>
        <w:rPr>
          <w:rFonts w:hint="eastAsia" w:asciiTheme="minorEastAsia" w:hAnsiTheme="minorEastAsia" w:eastAsiaTheme="minorEastAsia"/>
          <w:b w:val="0"/>
          <w:bCs/>
          <w:spacing w:val="-8"/>
          <w:sz w:val="28"/>
          <w:szCs w:val="30"/>
        </w:rPr>
      </w:pPr>
      <w:bookmarkStart w:id="8" w:name="_Toc15763"/>
      <w:r>
        <w:rPr>
          <w:rFonts w:hint="eastAsia" w:asciiTheme="minorEastAsia" w:hAnsiTheme="minorEastAsia" w:eastAsiaTheme="minorEastAsia"/>
          <w:b w:val="0"/>
          <w:bCs/>
          <w:spacing w:val="-8"/>
          <w:sz w:val="28"/>
          <w:szCs w:val="30"/>
        </w:rPr>
        <w:t>编      写：</w:t>
      </w:r>
      <w:bookmarkEnd w:id="8"/>
    </w:p>
    <w:p>
      <w:pPr>
        <w:rPr>
          <w:rFonts w:hint="eastAsia" w:asciiTheme="minorEastAsia" w:hAnsiTheme="minorEastAsia" w:eastAsiaTheme="minorEastAsia"/>
          <w:b w:val="0"/>
          <w:bCs/>
          <w:spacing w:val="-8"/>
          <w:sz w:val="28"/>
          <w:szCs w:val="30"/>
        </w:rPr>
      </w:pPr>
      <w:r>
        <w:rPr>
          <w:rFonts w:hint="eastAsia" w:asciiTheme="minorEastAsia" w:hAnsiTheme="minorEastAsia" w:eastAsiaTheme="minorEastAsia"/>
          <w:b w:val="0"/>
          <w:bCs/>
          <w:spacing w:val="-8"/>
          <w:sz w:val="28"/>
          <w:szCs w:val="30"/>
        </w:rPr>
        <w:br w:type="page"/>
      </w:r>
    </w:p>
    <w:bookmarkEnd w:id="0"/>
    <w:p>
      <w:pPr>
        <w:pStyle w:val="43"/>
        <w:ind w:firstLine="0" w:firstLineChars="0"/>
        <w:jc w:val="center"/>
        <w:rPr>
          <w:rFonts w:hint="eastAsia" w:ascii="黑体" w:hAnsi="黑体" w:eastAsia="黑体" w:cs="黑体"/>
          <w:b/>
          <w:sz w:val="32"/>
          <w:szCs w:val="32"/>
          <w:lang w:eastAsia="zh-CN"/>
        </w:rPr>
      </w:pPr>
      <w:bookmarkStart w:id="9" w:name="_Toc510511009"/>
      <w:bookmarkStart w:id="10" w:name="_Toc485124292"/>
      <w:bookmarkStart w:id="11" w:name="_Toc501443567"/>
      <w:bookmarkStart w:id="12" w:name="_Toc1117816"/>
      <w:r>
        <w:rPr>
          <w:rFonts w:hint="eastAsia" w:ascii="黑体" w:hAnsi="黑体" w:eastAsia="黑体" w:cs="黑体"/>
          <w:b/>
          <w:sz w:val="32"/>
          <w:szCs w:val="32"/>
          <w:lang w:eastAsia="zh-CN"/>
        </w:rPr>
        <w:t>目</w:t>
      </w:r>
      <w:r>
        <w:rPr>
          <w:rFonts w:hint="eastAsia" w:ascii="黑体" w:hAnsi="黑体" w:eastAsia="黑体" w:cs="黑体"/>
          <w:b/>
          <w:sz w:val="32"/>
          <w:szCs w:val="32"/>
          <w:lang w:val="en-US" w:eastAsia="zh-CN"/>
        </w:rPr>
        <w:t xml:space="preserve">     </w:t>
      </w:r>
      <w:r>
        <w:rPr>
          <w:rFonts w:hint="eastAsia" w:ascii="黑体" w:hAnsi="黑体" w:eastAsia="黑体" w:cs="黑体"/>
          <w:b/>
          <w:sz w:val="32"/>
          <w:szCs w:val="32"/>
          <w:lang w:eastAsia="zh-CN"/>
        </w:rPr>
        <w:t>录</w:t>
      </w:r>
    </w:p>
    <w:sdt>
      <w:sdtPr>
        <w:rPr>
          <w:rFonts w:ascii="宋体" w:hAnsi="宋体" w:eastAsia="宋体" w:cstheme="minorBidi"/>
          <w:kern w:val="2"/>
          <w:sz w:val="21"/>
          <w:szCs w:val="22"/>
          <w:lang w:val="en-US" w:eastAsia="zh-CN" w:bidi="ar-SA"/>
        </w:rPr>
        <w:id w:val="147470678"/>
        <w15:color w:val="DBDBDB"/>
        <w:docPartObj>
          <w:docPartGallery w:val="Table of Contents"/>
          <w:docPartUnique/>
        </w:docPartObj>
      </w:sdtPr>
      <w:sdtEndPr>
        <w:rPr>
          <w:rFonts w:hint="eastAsia" w:ascii="Times New Roman" w:hAnsi="Times New Roman" w:eastAsia="宋体" w:cs="Times New Roman"/>
          <w:b/>
          <w:kern w:val="2"/>
          <w:sz w:val="24"/>
          <w:szCs w:val="24"/>
          <w:lang w:val="en-US" w:eastAsia="zh-CN" w:bidi="ar-SA"/>
        </w:rPr>
      </w:sdtEndPr>
      <w:sdtContent>
        <w:p>
          <w:pPr>
            <w:spacing w:before="0" w:beforeLines="0" w:after="0" w:afterLines="0" w:line="240" w:lineRule="auto"/>
            <w:ind w:left="0" w:leftChars="0" w:right="0" w:rightChars="0" w:firstLine="0" w:firstLineChars="0"/>
            <w:jc w:val="center"/>
            <w:rPr>
              <w:b/>
            </w:rPr>
          </w:pPr>
          <w:r>
            <w:rPr>
              <w:rFonts w:hint="eastAsia"/>
              <w:b/>
            </w:rPr>
            <w:fldChar w:fldCharType="begin"/>
          </w:r>
          <w:r>
            <w:rPr>
              <w:rFonts w:hint="eastAsia"/>
              <w:b/>
            </w:rPr>
            <w:instrText xml:space="preserve">TOC \o "1-2" \h \u </w:instrText>
          </w:r>
          <w:r>
            <w:rPr>
              <w:rFonts w:hint="eastAsia"/>
              <w:b/>
            </w:rPr>
            <w:fldChar w:fldCharType="separate"/>
          </w:r>
        </w:p>
        <w:p>
          <w:pPr>
            <w:pStyle w:val="212"/>
            <w:tabs>
              <w:tab w:val="right" w:leader="dot" w:pos="8900"/>
            </w:tabs>
            <w:rPr>
              <w:rFonts w:hint="eastAsia" w:ascii="仿宋" w:hAnsi="仿宋" w:eastAsia="仿宋" w:cs="仿宋"/>
              <w:b/>
              <w:sz w:val="24"/>
              <w:szCs w:val="24"/>
            </w:rPr>
          </w:pPr>
          <w:r>
            <w:rPr>
              <w:rFonts w:hint="eastAsia" w:ascii="仿宋" w:hAnsi="仿宋" w:eastAsia="仿宋" w:cs="仿宋"/>
              <w:b/>
              <w:sz w:val="24"/>
              <w:szCs w:val="24"/>
            </w:rPr>
            <w:fldChar w:fldCharType="begin"/>
          </w:r>
          <w:r>
            <w:rPr>
              <w:rFonts w:hint="eastAsia" w:ascii="仿宋" w:hAnsi="仿宋" w:eastAsia="仿宋" w:cs="仿宋"/>
              <w:b/>
              <w:sz w:val="24"/>
              <w:szCs w:val="24"/>
            </w:rPr>
            <w:instrText xml:space="preserve"> HYPERLINK \l _Toc10187 </w:instrText>
          </w:r>
          <w:r>
            <w:rPr>
              <w:rFonts w:hint="eastAsia" w:ascii="仿宋" w:hAnsi="仿宋" w:eastAsia="仿宋" w:cs="仿宋"/>
              <w:b/>
              <w:sz w:val="24"/>
              <w:szCs w:val="24"/>
            </w:rPr>
            <w:fldChar w:fldCharType="separate"/>
          </w:r>
          <w:r>
            <w:rPr>
              <w:rFonts w:hint="eastAsia" w:ascii="仿宋" w:hAnsi="仿宋" w:eastAsia="仿宋" w:cs="仿宋"/>
              <w:b/>
              <w:sz w:val="24"/>
              <w:szCs w:val="24"/>
            </w:rPr>
            <w:t>1 综合说明</w:t>
          </w:r>
          <w:r>
            <w:rPr>
              <w:rFonts w:hint="eastAsia" w:ascii="仿宋" w:hAnsi="仿宋" w:eastAsia="仿宋" w:cs="仿宋"/>
              <w:b/>
              <w:sz w:val="24"/>
              <w:szCs w:val="24"/>
            </w:rPr>
            <w:tab/>
          </w:r>
          <w:r>
            <w:rPr>
              <w:rFonts w:hint="eastAsia" w:ascii="仿宋" w:hAnsi="仿宋" w:eastAsia="仿宋" w:cs="仿宋"/>
              <w:b/>
              <w:sz w:val="24"/>
              <w:szCs w:val="24"/>
            </w:rPr>
            <w:fldChar w:fldCharType="begin"/>
          </w:r>
          <w:r>
            <w:rPr>
              <w:rFonts w:hint="eastAsia" w:ascii="仿宋" w:hAnsi="仿宋" w:eastAsia="仿宋" w:cs="仿宋"/>
              <w:b/>
              <w:sz w:val="24"/>
              <w:szCs w:val="24"/>
            </w:rPr>
            <w:instrText xml:space="preserve"> PAGEREF _Toc10187 </w:instrText>
          </w:r>
          <w:r>
            <w:rPr>
              <w:rFonts w:hint="eastAsia" w:ascii="仿宋" w:hAnsi="仿宋" w:eastAsia="仿宋" w:cs="仿宋"/>
              <w:b/>
              <w:sz w:val="24"/>
              <w:szCs w:val="24"/>
            </w:rPr>
            <w:fldChar w:fldCharType="separate"/>
          </w:r>
          <w:r>
            <w:rPr>
              <w:rFonts w:hint="eastAsia" w:ascii="仿宋" w:hAnsi="仿宋" w:eastAsia="仿宋" w:cs="仿宋"/>
              <w:b/>
              <w:sz w:val="24"/>
              <w:szCs w:val="24"/>
            </w:rPr>
            <w:t>- 8 -</w:t>
          </w:r>
          <w:r>
            <w:rPr>
              <w:rFonts w:hint="eastAsia" w:ascii="仿宋" w:hAnsi="仿宋" w:eastAsia="仿宋" w:cs="仿宋"/>
              <w:b/>
              <w:sz w:val="24"/>
              <w:szCs w:val="24"/>
            </w:rPr>
            <w:fldChar w:fldCharType="end"/>
          </w:r>
          <w:r>
            <w:rPr>
              <w:rFonts w:hint="eastAsia" w:ascii="仿宋" w:hAnsi="仿宋" w:eastAsia="仿宋" w:cs="仿宋"/>
              <w:b/>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_Toc31456 </w:instrText>
          </w:r>
          <w:r>
            <w:rPr>
              <w:rFonts w:hint="eastAsia" w:ascii="仿宋" w:hAnsi="仿宋" w:eastAsia="仿宋" w:cs="仿宋"/>
              <w:sz w:val="24"/>
              <w:szCs w:val="24"/>
            </w:rPr>
            <w:fldChar w:fldCharType="separate"/>
          </w:r>
          <w:r>
            <w:rPr>
              <w:rFonts w:hint="eastAsia" w:ascii="仿宋" w:hAnsi="仿宋" w:eastAsia="仿宋" w:cs="仿宋"/>
              <w:bCs/>
              <w:sz w:val="24"/>
              <w:szCs w:val="24"/>
            </w:rPr>
            <w:t>1.1 项目简况</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_Toc31456 </w:instrText>
          </w:r>
          <w:r>
            <w:rPr>
              <w:rFonts w:hint="eastAsia" w:ascii="仿宋" w:hAnsi="仿宋" w:eastAsia="仿宋" w:cs="仿宋"/>
              <w:sz w:val="24"/>
              <w:szCs w:val="24"/>
            </w:rPr>
            <w:fldChar w:fldCharType="separate"/>
          </w:r>
          <w:r>
            <w:rPr>
              <w:rFonts w:hint="eastAsia" w:ascii="仿宋" w:hAnsi="仿宋" w:eastAsia="仿宋" w:cs="仿宋"/>
              <w:sz w:val="24"/>
              <w:szCs w:val="24"/>
            </w:rPr>
            <w:t>- 8 -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_Toc12982 </w:instrText>
          </w:r>
          <w:r>
            <w:rPr>
              <w:rFonts w:hint="eastAsia" w:ascii="仿宋" w:hAnsi="仿宋" w:eastAsia="仿宋" w:cs="仿宋"/>
              <w:sz w:val="24"/>
              <w:szCs w:val="24"/>
            </w:rPr>
            <w:fldChar w:fldCharType="separate"/>
          </w:r>
          <w:r>
            <w:rPr>
              <w:rFonts w:hint="eastAsia" w:ascii="仿宋" w:hAnsi="仿宋" w:eastAsia="仿宋" w:cs="仿宋"/>
              <w:bCs/>
              <w:sz w:val="24"/>
              <w:szCs w:val="24"/>
            </w:rPr>
            <w:t>1.2编制依据</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_Toc12982 </w:instrText>
          </w:r>
          <w:r>
            <w:rPr>
              <w:rFonts w:hint="eastAsia" w:ascii="仿宋" w:hAnsi="仿宋" w:eastAsia="仿宋" w:cs="仿宋"/>
              <w:sz w:val="24"/>
              <w:szCs w:val="24"/>
            </w:rPr>
            <w:fldChar w:fldCharType="separate"/>
          </w:r>
          <w:r>
            <w:rPr>
              <w:rFonts w:hint="eastAsia" w:ascii="仿宋" w:hAnsi="仿宋" w:eastAsia="仿宋" w:cs="仿宋"/>
              <w:sz w:val="24"/>
              <w:szCs w:val="24"/>
            </w:rPr>
            <w:t>- 12 -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_Toc13791 </w:instrText>
          </w:r>
          <w:r>
            <w:rPr>
              <w:rFonts w:hint="eastAsia" w:ascii="仿宋" w:hAnsi="仿宋" w:eastAsia="仿宋" w:cs="仿宋"/>
              <w:sz w:val="24"/>
              <w:szCs w:val="24"/>
            </w:rPr>
            <w:fldChar w:fldCharType="separate"/>
          </w:r>
          <w:r>
            <w:rPr>
              <w:rFonts w:hint="eastAsia" w:ascii="仿宋" w:hAnsi="仿宋" w:eastAsia="仿宋" w:cs="仿宋"/>
              <w:bCs/>
              <w:sz w:val="24"/>
              <w:szCs w:val="24"/>
            </w:rPr>
            <w:t>1.3设计水平年</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_Toc13791 </w:instrText>
          </w:r>
          <w:r>
            <w:rPr>
              <w:rFonts w:hint="eastAsia" w:ascii="仿宋" w:hAnsi="仿宋" w:eastAsia="仿宋" w:cs="仿宋"/>
              <w:sz w:val="24"/>
              <w:szCs w:val="24"/>
            </w:rPr>
            <w:fldChar w:fldCharType="separate"/>
          </w:r>
          <w:r>
            <w:rPr>
              <w:rFonts w:hint="eastAsia" w:ascii="仿宋" w:hAnsi="仿宋" w:eastAsia="仿宋" w:cs="仿宋"/>
              <w:sz w:val="24"/>
              <w:szCs w:val="24"/>
            </w:rPr>
            <w:t>- 15 -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_Toc12945 </w:instrText>
          </w:r>
          <w:r>
            <w:rPr>
              <w:rFonts w:hint="eastAsia" w:ascii="仿宋" w:hAnsi="仿宋" w:eastAsia="仿宋" w:cs="仿宋"/>
              <w:sz w:val="24"/>
              <w:szCs w:val="24"/>
            </w:rPr>
            <w:fldChar w:fldCharType="separate"/>
          </w:r>
          <w:r>
            <w:rPr>
              <w:rFonts w:hint="eastAsia" w:ascii="仿宋" w:hAnsi="仿宋" w:eastAsia="仿宋" w:cs="仿宋"/>
              <w:bCs/>
              <w:sz w:val="24"/>
              <w:szCs w:val="24"/>
            </w:rPr>
            <w:t>1.4水土流失防治责任范围</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_Toc12945 </w:instrText>
          </w:r>
          <w:r>
            <w:rPr>
              <w:rFonts w:hint="eastAsia" w:ascii="仿宋" w:hAnsi="仿宋" w:eastAsia="仿宋" w:cs="仿宋"/>
              <w:sz w:val="24"/>
              <w:szCs w:val="24"/>
            </w:rPr>
            <w:fldChar w:fldCharType="separate"/>
          </w:r>
          <w:r>
            <w:rPr>
              <w:rFonts w:hint="eastAsia" w:ascii="仿宋" w:hAnsi="仿宋" w:eastAsia="仿宋" w:cs="仿宋"/>
              <w:sz w:val="24"/>
              <w:szCs w:val="24"/>
            </w:rPr>
            <w:t>- 15 -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_Toc22375 </w:instrText>
          </w:r>
          <w:r>
            <w:rPr>
              <w:rFonts w:hint="eastAsia" w:ascii="仿宋" w:hAnsi="仿宋" w:eastAsia="仿宋" w:cs="仿宋"/>
              <w:sz w:val="24"/>
              <w:szCs w:val="24"/>
            </w:rPr>
            <w:fldChar w:fldCharType="separate"/>
          </w:r>
          <w:r>
            <w:rPr>
              <w:rFonts w:hint="eastAsia" w:ascii="仿宋" w:hAnsi="仿宋" w:eastAsia="仿宋" w:cs="仿宋"/>
              <w:bCs/>
              <w:sz w:val="24"/>
              <w:szCs w:val="24"/>
            </w:rPr>
            <w:t>1.5水土流失防治目标</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_Toc22375 </w:instrText>
          </w:r>
          <w:r>
            <w:rPr>
              <w:rFonts w:hint="eastAsia" w:ascii="仿宋" w:hAnsi="仿宋" w:eastAsia="仿宋" w:cs="仿宋"/>
              <w:sz w:val="24"/>
              <w:szCs w:val="24"/>
            </w:rPr>
            <w:fldChar w:fldCharType="separate"/>
          </w:r>
          <w:r>
            <w:rPr>
              <w:rFonts w:hint="eastAsia" w:ascii="仿宋" w:hAnsi="仿宋" w:eastAsia="仿宋" w:cs="仿宋"/>
              <w:sz w:val="24"/>
              <w:szCs w:val="24"/>
            </w:rPr>
            <w:t>- 16 -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_Toc20439 </w:instrText>
          </w:r>
          <w:r>
            <w:rPr>
              <w:rFonts w:hint="eastAsia" w:ascii="仿宋" w:hAnsi="仿宋" w:eastAsia="仿宋" w:cs="仿宋"/>
              <w:sz w:val="24"/>
              <w:szCs w:val="24"/>
            </w:rPr>
            <w:fldChar w:fldCharType="separate"/>
          </w:r>
          <w:r>
            <w:rPr>
              <w:rFonts w:hint="eastAsia" w:ascii="仿宋" w:hAnsi="仿宋" w:eastAsia="仿宋" w:cs="仿宋"/>
              <w:bCs/>
              <w:sz w:val="24"/>
              <w:szCs w:val="24"/>
            </w:rPr>
            <w:t>1.6项目水土保持评价结论</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_Toc20439 </w:instrText>
          </w:r>
          <w:r>
            <w:rPr>
              <w:rFonts w:hint="eastAsia" w:ascii="仿宋" w:hAnsi="仿宋" w:eastAsia="仿宋" w:cs="仿宋"/>
              <w:sz w:val="24"/>
              <w:szCs w:val="24"/>
            </w:rPr>
            <w:fldChar w:fldCharType="separate"/>
          </w:r>
          <w:r>
            <w:rPr>
              <w:rFonts w:hint="eastAsia" w:ascii="仿宋" w:hAnsi="仿宋" w:eastAsia="仿宋" w:cs="仿宋"/>
              <w:sz w:val="24"/>
              <w:szCs w:val="24"/>
            </w:rPr>
            <w:t>- 18 -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_Toc19105 </w:instrText>
          </w:r>
          <w:r>
            <w:rPr>
              <w:rFonts w:hint="eastAsia" w:ascii="仿宋" w:hAnsi="仿宋" w:eastAsia="仿宋" w:cs="仿宋"/>
              <w:sz w:val="24"/>
              <w:szCs w:val="24"/>
            </w:rPr>
            <w:fldChar w:fldCharType="separate"/>
          </w:r>
          <w:r>
            <w:rPr>
              <w:rFonts w:hint="eastAsia" w:ascii="仿宋" w:hAnsi="仿宋" w:eastAsia="仿宋" w:cs="仿宋"/>
              <w:bCs/>
              <w:sz w:val="24"/>
              <w:szCs w:val="24"/>
            </w:rPr>
            <w:t>1.7水土流失预测结果</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_Toc19105 </w:instrText>
          </w:r>
          <w:r>
            <w:rPr>
              <w:rFonts w:hint="eastAsia" w:ascii="仿宋" w:hAnsi="仿宋" w:eastAsia="仿宋" w:cs="仿宋"/>
              <w:sz w:val="24"/>
              <w:szCs w:val="24"/>
            </w:rPr>
            <w:fldChar w:fldCharType="separate"/>
          </w:r>
          <w:r>
            <w:rPr>
              <w:rFonts w:hint="eastAsia" w:ascii="仿宋" w:hAnsi="仿宋" w:eastAsia="仿宋" w:cs="仿宋"/>
              <w:sz w:val="24"/>
              <w:szCs w:val="24"/>
            </w:rPr>
            <w:t>- 20 -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_Toc8991 </w:instrText>
          </w:r>
          <w:r>
            <w:rPr>
              <w:rFonts w:hint="eastAsia" w:ascii="仿宋" w:hAnsi="仿宋" w:eastAsia="仿宋" w:cs="仿宋"/>
              <w:sz w:val="24"/>
              <w:szCs w:val="24"/>
            </w:rPr>
            <w:fldChar w:fldCharType="separate"/>
          </w:r>
          <w:r>
            <w:rPr>
              <w:rFonts w:hint="eastAsia" w:ascii="仿宋" w:hAnsi="仿宋" w:eastAsia="仿宋" w:cs="仿宋"/>
              <w:bCs/>
              <w:sz w:val="24"/>
              <w:szCs w:val="24"/>
            </w:rPr>
            <w:t>1.8水土保持措施布设成果</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_Toc8991 </w:instrText>
          </w:r>
          <w:r>
            <w:rPr>
              <w:rFonts w:hint="eastAsia" w:ascii="仿宋" w:hAnsi="仿宋" w:eastAsia="仿宋" w:cs="仿宋"/>
              <w:sz w:val="24"/>
              <w:szCs w:val="24"/>
            </w:rPr>
            <w:fldChar w:fldCharType="separate"/>
          </w:r>
          <w:r>
            <w:rPr>
              <w:rFonts w:hint="eastAsia" w:ascii="仿宋" w:hAnsi="仿宋" w:eastAsia="仿宋" w:cs="仿宋"/>
              <w:sz w:val="24"/>
              <w:szCs w:val="24"/>
            </w:rPr>
            <w:t>- 20 -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_Toc8062 </w:instrText>
          </w:r>
          <w:r>
            <w:rPr>
              <w:rFonts w:hint="eastAsia" w:ascii="仿宋" w:hAnsi="仿宋" w:eastAsia="仿宋" w:cs="仿宋"/>
              <w:sz w:val="24"/>
              <w:szCs w:val="24"/>
            </w:rPr>
            <w:fldChar w:fldCharType="separate"/>
          </w:r>
          <w:r>
            <w:rPr>
              <w:rFonts w:hint="eastAsia" w:ascii="仿宋" w:hAnsi="仿宋" w:eastAsia="仿宋" w:cs="仿宋"/>
              <w:bCs/>
              <w:sz w:val="24"/>
              <w:szCs w:val="24"/>
            </w:rPr>
            <w:t>1.</w:t>
          </w:r>
          <w:r>
            <w:rPr>
              <w:rFonts w:hint="eastAsia" w:ascii="仿宋" w:hAnsi="仿宋" w:eastAsia="仿宋" w:cs="仿宋"/>
              <w:bCs/>
              <w:sz w:val="24"/>
              <w:szCs w:val="24"/>
              <w:lang w:val="en-US" w:eastAsia="zh-CN"/>
            </w:rPr>
            <w:t>9</w:t>
          </w:r>
          <w:r>
            <w:rPr>
              <w:rFonts w:hint="eastAsia" w:ascii="仿宋" w:hAnsi="仿宋" w:eastAsia="仿宋" w:cs="仿宋"/>
              <w:bCs/>
              <w:sz w:val="24"/>
              <w:szCs w:val="24"/>
            </w:rPr>
            <w:t>水土保持投资及效益分析成果</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_Toc8062 </w:instrText>
          </w:r>
          <w:r>
            <w:rPr>
              <w:rFonts w:hint="eastAsia" w:ascii="仿宋" w:hAnsi="仿宋" w:eastAsia="仿宋" w:cs="仿宋"/>
              <w:sz w:val="24"/>
              <w:szCs w:val="24"/>
            </w:rPr>
            <w:fldChar w:fldCharType="separate"/>
          </w:r>
          <w:r>
            <w:rPr>
              <w:rFonts w:hint="eastAsia" w:ascii="仿宋" w:hAnsi="仿宋" w:eastAsia="仿宋" w:cs="仿宋"/>
              <w:sz w:val="24"/>
              <w:szCs w:val="24"/>
            </w:rPr>
            <w:t>- 21 -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_Toc14219 </w:instrText>
          </w:r>
          <w:r>
            <w:rPr>
              <w:rFonts w:hint="eastAsia" w:ascii="仿宋" w:hAnsi="仿宋" w:eastAsia="仿宋" w:cs="仿宋"/>
              <w:sz w:val="24"/>
              <w:szCs w:val="24"/>
            </w:rPr>
            <w:fldChar w:fldCharType="separate"/>
          </w:r>
          <w:r>
            <w:rPr>
              <w:rFonts w:hint="eastAsia" w:ascii="仿宋" w:hAnsi="仿宋" w:eastAsia="仿宋" w:cs="仿宋"/>
              <w:bCs/>
              <w:sz w:val="24"/>
              <w:szCs w:val="24"/>
            </w:rPr>
            <w:t>1.1</w:t>
          </w:r>
          <w:r>
            <w:rPr>
              <w:rFonts w:hint="eastAsia" w:ascii="仿宋" w:hAnsi="仿宋" w:eastAsia="仿宋" w:cs="仿宋"/>
              <w:bCs/>
              <w:sz w:val="24"/>
              <w:szCs w:val="24"/>
              <w:lang w:val="en-US" w:eastAsia="zh-CN"/>
            </w:rPr>
            <w:t>0</w:t>
          </w:r>
          <w:r>
            <w:rPr>
              <w:rFonts w:hint="eastAsia" w:ascii="仿宋" w:hAnsi="仿宋" w:eastAsia="仿宋" w:cs="仿宋"/>
              <w:bCs/>
              <w:sz w:val="24"/>
              <w:szCs w:val="24"/>
            </w:rPr>
            <w:t>结论</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_Toc14219 </w:instrText>
          </w:r>
          <w:r>
            <w:rPr>
              <w:rFonts w:hint="eastAsia" w:ascii="仿宋" w:hAnsi="仿宋" w:eastAsia="仿宋" w:cs="仿宋"/>
              <w:sz w:val="24"/>
              <w:szCs w:val="24"/>
            </w:rPr>
            <w:fldChar w:fldCharType="separate"/>
          </w:r>
          <w:r>
            <w:rPr>
              <w:rFonts w:hint="eastAsia" w:ascii="仿宋" w:hAnsi="仿宋" w:eastAsia="仿宋" w:cs="仿宋"/>
              <w:sz w:val="24"/>
              <w:szCs w:val="24"/>
            </w:rPr>
            <w:t>- 21 -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2"/>
            <w:tabs>
              <w:tab w:val="right" w:leader="dot" w:pos="8900"/>
            </w:tabs>
            <w:rPr>
              <w:rFonts w:hint="eastAsia" w:ascii="仿宋" w:hAnsi="仿宋" w:eastAsia="仿宋" w:cs="仿宋"/>
              <w:b/>
              <w:sz w:val="24"/>
              <w:szCs w:val="24"/>
            </w:rPr>
          </w:pPr>
          <w:r>
            <w:rPr>
              <w:rFonts w:hint="eastAsia" w:ascii="仿宋" w:hAnsi="仿宋" w:eastAsia="仿宋" w:cs="仿宋"/>
              <w:b/>
              <w:sz w:val="24"/>
              <w:szCs w:val="24"/>
            </w:rPr>
            <w:fldChar w:fldCharType="begin"/>
          </w:r>
          <w:r>
            <w:rPr>
              <w:rFonts w:hint="eastAsia" w:ascii="仿宋" w:hAnsi="仿宋" w:eastAsia="仿宋" w:cs="仿宋"/>
              <w:b/>
              <w:sz w:val="24"/>
              <w:szCs w:val="24"/>
            </w:rPr>
            <w:instrText xml:space="preserve"> HYPERLINK \l _Toc11227 </w:instrText>
          </w:r>
          <w:r>
            <w:rPr>
              <w:rFonts w:hint="eastAsia" w:ascii="仿宋" w:hAnsi="仿宋" w:eastAsia="仿宋" w:cs="仿宋"/>
              <w:b/>
              <w:sz w:val="24"/>
              <w:szCs w:val="24"/>
            </w:rPr>
            <w:fldChar w:fldCharType="separate"/>
          </w:r>
          <w:r>
            <w:rPr>
              <w:rFonts w:hint="eastAsia" w:ascii="仿宋" w:hAnsi="仿宋" w:eastAsia="仿宋" w:cs="仿宋"/>
              <w:b/>
              <w:sz w:val="24"/>
              <w:szCs w:val="24"/>
            </w:rPr>
            <w:t>2项目概况</w:t>
          </w:r>
          <w:r>
            <w:rPr>
              <w:rFonts w:hint="eastAsia" w:ascii="仿宋" w:hAnsi="仿宋" w:eastAsia="仿宋" w:cs="仿宋"/>
              <w:b/>
              <w:sz w:val="24"/>
              <w:szCs w:val="24"/>
            </w:rPr>
            <w:tab/>
          </w:r>
          <w:r>
            <w:rPr>
              <w:rFonts w:hint="eastAsia" w:ascii="仿宋" w:hAnsi="仿宋" w:eastAsia="仿宋" w:cs="仿宋"/>
              <w:b/>
              <w:sz w:val="24"/>
              <w:szCs w:val="24"/>
            </w:rPr>
            <w:fldChar w:fldCharType="begin"/>
          </w:r>
          <w:r>
            <w:rPr>
              <w:rFonts w:hint="eastAsia" w:ascii="仿宋" w:hAnsi="仿宋" w:eastAsia="仿宋" w:cs="仿宋"/>
              <w:b/>
              <w:sz w:val="24"/>
              <w:szCs w:val="24"/>
            </w:rPr>
            <w:instrText xml:space="preserve"> PAGEREF _Toc11227 </w:instrText>
          </w:r>
          <w:r>
            <w:rPr>
              <w:rFonts w:hint="eastAsia" w:ascii="仿宋" w:hAnsi="仿宋" w:eastAsia="仿宋" w:cs="仿宋"/>
              <w:b/>
              <w:sz w:val="24"/>
              <w:szCs w:val="24"/>
            </w:rPr>
            <w:fldChar w:fldCharType="separate"/>
          </w:r>
          <w:r>
            <w:rPr>
              <w:rFonts w:hint="eastAsia" w:ascii="仿宋" w:hAnsi="仿宋" w:eastAsia="仿宋" w:cs="仿宋"/>
              <w:b/>
              <w:sz w:val="24"/>
              <w:szCs w:val="24"/>
            </w:rPr>
            <w:t>- 23 -</w:t>
          </w:r>
          <w:r>
            <w:rPr>
              <w:rFonts w:hint="eastAsia" w:ascii="仿宋" w:hAnsi="仿宋" w:eastAsia="仿宋" w:cs="仿宋"/>
              <w:b/>
              <w:sz w:val="24"/>
              <w:szCs w:val="24"/>
            </w:rPr>
            <w:fldChar w:fldCharType="end"/>
          </w:r>
          <w:r>
            <w:rPr>
              <w:rFonts w:hint="eastAsia" w:ascii="仿宋" w:hAnsi="仿宋" w:eastAsia="仿宋" w:cs="仿宋"/>
              <w:b/>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_Toc11702 </w:instrText>
          </w:r>
          <w:r>
            <w:rPr>
              <w:rFonts w:hint="eastAsia" w:ascii="仿宋" w:hAnsi="仿宋" w:eastAsia="仿宋" w:cs="仿宋"/>
              <w:sz w:val="24"/>
              <w:szCs w:val="24"/>
            </w:rPr>
            <w:fldChar w:fldCharType="separate"/>
          </w:r>
          <w:r>
            <w:rPr>
              <w:rFonts w:hint="eastAsia" w:ascii="仿宋" w:hAnsi="仿宋" w:eastAsia="仿宋" w:cs="仿宋"/>
              <w:bCs/>
              <w:sz w:val="24"/>
              <w:szCs w:val="24"/>
            </w:rPr>
            <w:t>2.1项目组成及工程布设</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_Toc11702 </w:instrText>
          </w:r>
          <w:r>
            <w:rPr>
              <w:rFonts w:hint="eastAsia" w:ascii="仿宋" w:hAnsi="仿宋" w:eastAsia="仿宋" w:cs="仿宋"/>
              <w:sz w:val="24"/>
              <w:szCs w:val="24"/>
            </w:rPr>
            <w:fldChar w:fldCharType="separate"/>
          </w:r>
          <w:r>
            <w:rPr>
              <w:rFonts w:hint="eastAsia" w:ascii="仿宋" w:hAnsi="仿宋" w:eastAsia="仿宋" w:cs="仿宋"/>
              <w:sz w:val="24"/>
              <w:szCs w:val="24"/>
            </w:rPr>
            <w:t>- 23 -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_Toc3893 </w:instrText>
          </w:r>
          <w:r>
            <w:rPr>
              <w:rFonts w:hint="eastAsia" w:ascii="仿宋" w:hAnsi="仿宋" w:eastAsia="仿宋" w:cs="仿宋"/>
              <w:sz w:val="24"/>
              <w:szCs w:val="24"/>
            </w:rPr>
            <w:fldChar w:fldCharType="separate"/>
          </w:r>
          <w:r>
            <w:rPr>
              <w:rFonts w:hint="eastAsia" w:ascii="仿宋" w:hAnsi="仿宋" w:eastAsia="仿宋" w:cs="仿宋"/>
              <w:sz w:val="24"/>
              <w:szCs w:val="24"/>
            </w:rPr>
            <w:t>2.1.1</w:t>
          </w:r>
          <w:r>
            <w:rPr>
              <w:rFonts w:hint="eastAsia" w:ascii="仿宋" w:hAnsi="仿宋" w:eastAsia="仿宋" w:cs="仿宋"/>
              <w:sz w:val="24"/>
              <w:szCs w:val="24"/>
              <w:lang w:eastAsia="zh-CN"/>
            </w:rPr>
            <w:t>项目基本情况</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_Toc3893 </w:instrText>
          </w:r>
          <w:r>
            <w:rPr>
              <w:rFonts w:hint="eastAsia" w:ascii="仿宋" w:hAnsi="仿宋" w:eastAsia="仿宋" w:cs="仿宋"/>
              <w:sz w:val="24"/>
              <w:szCs w:val="24"/>
            </w:rPr>
            <w:fldChar w:fldCharType="separate"/>
          </w:r>
          <w:r>
            <w:rPr>
              <w:rFonts w:hint="eastAsia" w:ascii="仿宋" w:hAnsi="仿宋" w:eastAsia="仿宋" w:cs="仿宋"/>
              <w:sz w:val="24"/>
              <w:szCs w:val="24"/>
            </w:rPr>
            <w:t>- 23 -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_Toc27442 </w:instrText>
          </w:r>
          <w:r>
            <w:rPr>
              <w:rFonts w:hint="eastAsia" w:ascii="仿宋" w:hAnsi="仿宋" w:eastAsia="仿宋" w:cs="仿宋"/>
              <w:sz w:val="24"/>
              <w:szCs w:val="24"/>
            </w:rPr>
            <w:fldChar w:fldCharType="separate"/>
          </w:r>
          <w:r>
            <w:rPr>
              <w:rFonts w:hint="eastAsia" w:ascii="仿宋" w:hAnsi="仿宋" w:eastAsia="仿宋" w:cs="仿宋"/>
              <w:sz w:val="24"/>
              <w:szCs w:val="24"/>
            </w:rPr>
            <w:t>2.1.</w:t>
          </w:r>
          <w:r>
            <w:rPr>
              <w:rFonts w:hint="eastAsia" w:ascii="仿宋" w:hAnsi="仿宋" w:eastAsia="仿宋" w:cs="仿宋"/>
              <w:sz w:val="24"/>
              <w:szCs w:val="24"/>
              <w:lang w:val="en-US" w:eastAsia="zh-CN"/>
            </w:rPr>
            <w:t>2项目组成及布局情况</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_Toc27442 </w:instrText>
          </w:r>
          <w:r>
            <w:rPr>
              <w:rFonts w:hint="eastAsia" w:ascii="仿宋" w:hAnsi="仿宋" w:eastAsia="仿宋" w:cs="仿宋"/>
              <w:sz w:val="24"/>
              <w:szCs w:val="24"/>
            </w:rPr>
            <w:fldChar w:fldCharType="separate"/>
          </w:r>
          <w:r>
            <w:rPr>
              <w:rFonts w:hint="eastAsia" w:ascii="仿宋" w:hAnsi="仿宋" w:eastAsia="仿宋" w:cs="仿宋"/>
              <w:sz w:val="24"/>
              <w:szCs w:val="24"/>
            </w:rPr>
            <w:t>- 25 -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_Toc29884 </w:instrText>
          </w:r>
          <w:r>
            <w:rPr>
              <w:rFonts w:hint="eastAsia" w:ascii="仿宋" w:hAnsi="仿宋" w:eastAsia="仿宋" w:cs="仿宋"/>
              <w:sz w:val="24"/>
              <w:szCs w:val="24"/>
            </w:rPr>
            <w:fldChar w:fldCharType="separate"/>
          </w:r>
          <w:r>
            <w:rPr>
              <w:rFonts w:hint="eastAsia" w:ascii="仿宋" w:hAnsi="仿宋" w:eastAsia="仿宋" w:cs="仿宋"/>
              <w:bCs/>
              <w:sz w:val="24"/>
              <w:szCs w:val="24"/>
            </w:rPr>
            <w:t>2.</w:t>
          </w:r>
          <w:r>
            <w:rPr>
              <w:rFonts w:hint="eastAsia" w:ascii="仿宋" w:hAnsi="仿宋" w:eastAsia="仿宋" w:cs="仿宋"/>
              <w:bCs/>
              <w:sz w:val="24"/>
              <w:szCs w:val="24"/>
              <w:lang w:val="en-US" w:eastAsia="zh-CN"/>
            </w:rPr>
            <w:t>2</w:t>
          </w:r>
          <w:r>
            <w:rPr>
              <w:rFonts w:hint="eastAsia" w:ascii="仿宋" w:hAnsi="仿宋" w:eastAsia="仿宋" w:cs="仿宋"/>
              <w:bCs/>
              <w:sz w:val="24"/>
              <w:szCs w:val="24"/>
            </w:rPr>
            <w:t>施工组织</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_Toc29884 </w:instrText>
          </w:r>
          <w:r>
            <w:rPr>
              <w:rFonts w:hint="eastAsia" w:ascii="仿宋" w:hAnsi="仿宋" w:eastAsia="仿宋" w:cs="仿宋"/>
              <w:sz w:val="24"/>
              <w:szCs w:val="24"/>
            </w:rPr>
            <w:fldChar w:fldCharType="separate"/>
          </w:r>
          <w:r>
            <w:rPr>
              <w:rFonts w:hint="eastAsia" w:ascii="仿宋" w:hAnsi="仿宋" w:eastAsia="仿宋" w:cs="仿宋"/>
              <w:sz w:val="24"/>
              <w:szCs w:val="24"/>
            </w:rPr>
            <w:t>- 29 -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_Toc25297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lang w:val="en-US" w:eastAsia="zh-CN"/>
            </w:rPr>
            <w:t>2</w:t>
          </w:r>
          <w:r>
            <w:rPr>
              <w:rFonts w:hint="eastAsia" w:ascii="仿宋" w:hAnsi="仿宋" w:eastAsia="仿宋" w:cs="仿宋"/>
              <w:sz w:val="24"/>
              <w:szCs w:val="24"/>
            </w:rPr>
            <w:t>.1施工布置</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_Toc25297 </w:instrText>
          </w:r>
          <w:r>
            <w:rPr>
              <w:rFonts w:hint="eastAsia" w:ascii="仿宋" w:hAnsi="仿宋" w:eastAsia="仿宋" w:cs="仿宋"/>
              <w:sz w:val="24"/>
              <w:szCs w:val="24"/>
            </w:rPr>
            <w:fldChar w:fldCharType="separate"/>
          </w:r>
          <w:r>
            <w:rPr>
              <w:rFonts w:hint="eastAsia" w:ascii="仿宋" w:hAnsi="仿宋" w:eastAsia="仿宋" w:cs="仿宋"/>
              <w:sz w:val="24"/>
              <w:szCs w:val="24"/>
            </w:rPr>
            <w:t>- 29 -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_Toc3817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lang w:val="en-US" w:eastAsia="zh-CN"/>
            </w:rPr>
            <w:t>2</w:t>
          </w:r>
          <w:r>
            <w:rPr>
              <w:rFonts w:hint="eastAsia" w:ascii="仿宋" w:hAnsi="仿宋" w:eastAsia="仿宋" w:cs="仿宋"/>
              <w:sz w:val="24"/>
              <w:szCs w:val="24"/>
            </w:rPr>
            <w:t>.2施工工艺</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_Toc3817 </w:instrText>
          </w:r>
          <w:r>
            <w:rPr>
              <w:rFonts w:hint="eastAsia" w:ascii="仿宋" w:hAnsi="仿宋" w:eastAsia="仿宋" w:cs="仿宋"/>
              <w:sz w:val="24"/>
              <w:szCs w:val="24"/>
            </w:rPr>
            <w:fldChar w:fldCharType="separate"/>
          </w:r>
          <w:r>
            <w:rPr>
              <w:rFonts w:hint="eastAsia" w:ascii="仿宋" w:hAnsi="仿宋" w:eastAsia="仿宋" w:cs="仿宋"/>
              <w:sz w:val="24"/>
              <w:szCs w:val="24"/>
            </w:rPr>
            <w:t>- 30 -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_Toc9289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lang w:val="en-US" w:eastAsia="zh-CN"/>
            </w:rPr>
            <w:t>2</w:t>
          </w:r>
          <w:r>
            <w:rPr>
              <w:rFonts w:hint="eastAsia" w:ascii="仿宋" w:hAnsi="仿宋" w:eastAsia="仿宋" w:cs="仿宋"/>
              <w:sz w:val="24"/>
              <w:szCs w:val="24"/>
            </w:rPr>
            <w:t>.3施工能力</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_Toc9289 </w:instrText>
          </w:r>
          <w:r>
            <w:rPr>
              <w:rFonts w:hint="eastAsia" w:ascii="仿宋" w:hAnsi="仿宋" w:eastAsia="仿宋" w:cs="仿宋"/>
              <w:sz w:val="24"/>
              <w:szCs w:val="24"/>
            </w:rPr>
            <w:fldChar w:fldCharType="separate"/>
          </w:r>
          <w:r>
            <w:rPr>
              <w:rFonts w:hint="eastAsia" w:ascii="仿宋" w:hAnsi="仿宋" w:eastAsia="仿宋" w:cs="仿宋"/>
              <w:sz w:val="24"/>
              <w:szCs w:val="24"/>
            </w:rPr>
            <w:t>- 30 -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_Toc24860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lang w:val="en-US" w:eastAsia="zh-CN"/>
            </w:rPr>
            <w:t>2</w:t>
          </w:r>
          <w:r>
            <w:rPr>
              <w:rFonts w:hint="eastAsia" w:ascii="仿宋" w:hAnsi="仿宋" w:eastAsia="仿宋" w:cs="仿宋"/>
              <w:sz w:val="24"/>
              <w:szCs w:val="24"/>
            </w:rPr>
            <w:t>.4材料来源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_Toc24860 </w:instrText>
          </w:r>
          <w:r>
            <w:rPr>
              <w:rFonts w:hint="eastAsia" w:ascii="仿宋" w:hAnsi="仿宋" w:eastAsia="仿宋" w:cs="仿宋"/>
              <w:sz w:val="24"/>
              <w:szCs w:val="24"/>
            </w:rPr>
            <w:fldChar w:fldCharType="separate"/>
          </w:r>
          <w:r>
            <w:rPr>
              <w:rFonts w:hint="eastAsia" w:ascii="仿宋" w:hAnsi="仿宋" w:eastAsia="仿宋" w:cs="仿宋"/>
              <w:sz w:val="24"/>
              <w:szCs w:val="24"/>
            </w:rPr>
            <w:t>- 30 -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_Toc5628 </w:instrText>
          </w:r>
          <w:r>
            <w:rPr>
              <w:rFonts w:hint="eastAsia" w:ascii="仿宋" w:hAnsi="仿宋" w:eastAsia="仿宋" w:cs="仿宋"/>
              <w:sz w:val="24"/>
              <w:szCs w:val="24"/>
            </w:rPr>
            <w:fldChar w:fldCharType="separate"/>
          </w:r>
          <w:r>
            <w:rPr>
              <w:rFonts w:hint="eastAsia" w:ascii="仿宋" w:hAnsi="仿宋" w:eastAsia="仿宋" w:cs="仿宋"/>
              <w:bCs/>
              <w:sz w:val="24"/>
              <w:szCs w:val="24"/>
            </w:rPr>
            <w:t>2.</w:t>
          </w:r>
          <w:r>
            <w:rPr>
              <w:rFonts w:hint="eastAsia" w:ascii="仿宋" w:hAnsi="仿宋" w:eastAsia="仿宋" w:cs="仿宋"/>
              <w:bCs/>
              <w:sz w:val="24"/>
              <w:szCs w:val="24"/>
              <w:lang w:val="en-US" w:eastAsia="zh-CN"/>
            </w:rPr>
            <w:t>3</w:t>
          </w:r>
          <w:r>
            <w:rPr>
              <w:rFonts w:hint="eastAsia" w:ascii="仿宋" w:hAnsi="仿宋" w:eastAsia="仿宋" w:cs="仿宋"/>
              <w:bCs/>
              <w:sz w:val="24"/>
              <w:szCs w:val="24"/>
            </w:rPr>
            <w:t>工程占地</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_Toc5628 </w:instrText>
          </w:r>
          <w:r>
            <w:rPr>
              <w:rFonts w:hint="eastAsia" w:ascii="仿宋" w:hAnsi="仿宋" w:eastAsia="仿宋" w:cs="仿宋"/>
              <w:sz w:val="24"/>
              <w:szCs w:val="24"/>
            </w:rPr>
            <w:fldChar w:fldCharType="separate"/>
          </w:r>
          <w:r>
            <w:rPr>
              <w:rFonts w:hint="eastAsia" w:ascii="仿宋" w:hAnsi="仿宋" w:eastAsia="仿宋" w:cs="仿宋"/>
              <w:sz w:val="24"/>
              <w:szCs w:val="24"/>
            </w:rPr>
            <w:t>- 30 -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_Toc20164 </w:instrText>
          </w:r>
          <w:r>
            <w:rPr>
              <w:rFonts w:hint="eastAsia" w:ascii="仿宋" w:hAnsi="仿宋" w:eastAsia="仿宋" w:cs="仿宋"/>
              <w:sz w:val="24"/>
              <w:szCs w:val="24"/>
            </w:rPr>
            <w:fldChar w:fldCharType="separate"/>
          </w:r>
          <w:r>
            <w:rPr>
              <w:rFonts w:hint="eastAsia" w:ascii="仿宋" w:hAnsi="仿宋" w:eastAsia="仿宋" w:cs="仿宋"/>
              <w:bCs/>
              <w:sz w:val="24"/>
              <w:szCs w:val="24"/>
            </w:rPr>
            <w:t>2.</w:t>
          </w:r>
          <w:r>
            <w:rPr>
              <w:rFonts w:hint="eastAsia" w:ascii="仿宋" w:hAnsi="仿宋" w:eastAsia="仿宋" w:cs="仿宋"/>
              <w:bCs/>
              <w:sz w:val="24"/>
              <w:szCs w:val="24"/>
              <w:lang w:val="en-US" w:eastAsia="zh-CN"/>
            </w:rPr>
            <w:t>4</w:t>
          </w:r>
          <w:r>
            <w:rPr>
              <w:rFonts w:hint="eastAsia" w:ascii="仿宋" w:hAnsi="仿宋" w:eastAsia="仿宋" w:cs="仿宋"/>
              <w:bCs/>
              <w:sz w:val="24"/>
              <w:szCs w:val="24"/>
            </w:rPr>
            <w:t>土石方平衡</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_Toc20164 </w:instrText>
          </w:r>
          <w:r>
            <w:rPr>
              <w:rFonts w:hint="eastAsia" w:ascii="仿宋" w:hAnsi="仿宋" w:eastAsia="仿宋" w:cs="仿宋"/>
              <w:sz w:val="24"/>
              <w:szCs w:val="24"/>
            </w:rPr>
            <w:fldChar w:fldCharType="separate"/>
          </w:r>
          <w:r>
            <w:rPr>
              <w:rFonts w:hint="eastAsia" w:ascii="仿宋" w:hAnsi="仿宋" w:eastAsia="仿宋" w:cs="仿宋"/>
              <w:sz w:val="24"/>
              <w:szCs w:val="24"/>
            </w:rPr>
            <w:t>- 31 -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_Toc4578 </w:instrText>
          </w:r>
          <w:r>
            <w:rPr>
              <w:rFonts w:hint="eastAsia" w:ascii="仿宋" w:hAnsi="仿宋" w:eastAsia="仿宋" w:cs="仿宋"/>
              <w:sz w:val="24"/>
              <w:szCs w:val="24"/>
            </w:rPr>
            <w:fldChar w:fldCharType="separate"/>
          </w:r>
          <w:r>
            <w:rPr>
              <w:rFonts w:hint="eastAsia" w:ascii="仿宋" w:hAnsi="仿宋" w:eastAsia="仿宋" w:cs="仿宋"/>
              <w:bCs/>
              <w:sz w:val="24"/>
              <w:szCs w:val="24"/>
            </w:rPr>
            <w:t>2.</w:t>
          </w:r>
          <w:r>
            <w:rPr>
              <w:rFonts w:hint="eastAsia" w:ascii="仿宋" w:hAnsi="仿宋" w:eastAsia="仿宋" w:cs="仿宋"/>
              <w:bCs/>
              <w:sz w:val="24"/>
              <w:szCs w:val="24"/>
              <w:lang w:val="en-US" w:eastAsia="zh-CN"/>
            </w:rPr>
            <w:t>5</w:t>
          </w:r>
          <w:r>
            <w:rPr>
              <w:rFonts w:hint="eastAsia" w:ascii="仿宋" w:hAnsi="仿宋" w:eastAsia="仿宋" w:cs="仿宋"/>
              <w:bCs/>
              <w:sz w:val="24"/>
              <w:szCs w:val="24"/>
            </w:rPr>
            <w:t>拆迁（移民）安置与专项设施改（迁）建</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_Toc4578 </w:instrText>
          </w:r>
          <w:r>
            <w:rPr>
              <w:rFonts w:hint="eastAsia" w:ascii="仿宋" w:hAnsi="仿宋" w:eastAsia="仿宋" w:cs="仿宋"/>
              <w:sz w:val="24"/>
              <w:szCs w:val="24"/>
            </w:rPr>
            <w:fldChar w:fldCharType="separate"/>
          </w:r>
          <w:r>
            <w:rPr>
              <w:rFonts w:hint="eastAsia" w:ascii="仿宋" w:hAnsi="仿宋" w:eastAsia="仿宋" w:cs="仿宋"/>
              <w:sz w:val="24"/>
              <w:szCs w:val="24"/>
            </w:rPr>
            <w:t>- 31 -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_Toc25882 </w:instrText>
          </w:r>
          <w:r>
            <w:rPr>
              <w:rFonts w:hint="eastAsia" w:ascii="仿宋" w:hAnsi="仿宋" w:eastAsia="仿宋" w:cs="仿宋"/>
              <w:sz w:val="24"/>
              <w:szCs w:val="24"/>
            </w:rPr>
            <w:fldChar w:fldCharType="separate"/>
          </w:r>
          <w:r>
            <w:rPr>
              <w:rFonts w:hint="eastAsia" w:ascii="仿宋" w:hAnsi="仿宋" w:eastAsia="仿宋" w:cs="仿宋"/>
              <w:bCs/>
              <w:sz w:val="24"/>
              <w:szCs w:val="24"/>
            </w:rPr>
            <w:t>2.</w:t>
          </w:r>
          <w:r>
            <w:rPr>
              <w:rFonts w:hint="eastAsia" w:ascii="仿宋" w:hAnsi="仿宋" w:eastAsia="仿宋" w:cs="仿宋"/>
              <w:bCs/>
              <w:sz w:val="24"/>
              <w:szCs w:val="24"/>
              <w:lang w:val="en-US" w:eastAsia="zh-CN"/>
            </w:rPr>
            <w:t>6</w:t>
          </w:r>
          <w:r>
            <w:rPr>
              <w:rFonts w:hint="eastAsia" w:ascii="仿宋" w:hAnsi="仿宋" w:eastAsia="仿宋" w:cs="仿宋"/>
              <w:bCs/>
              <w:sz w:val="24"/>
              <w:szCs w:val="24"/>
            </w:rPr>
            <w:t>施工进度</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_Toc25882 </w:instrText>
          </w:r>
          <w:r>
            <w:rPr>
              <w:rFonts w:hint="eastAsia" w:ascii="仿宋" w:hAnsi="仿宋" w:eastAsia="仿宋" w:cs="仿宋"/>
              <w:sz w:val="24"/>
              <w:szCs w:val="24"/>
            </w:rPr>
            <w:fldChar w:fldCharType="separate"/>
          </w:r>
          <w:r>
            <w:rPr>
              <w:rFonts w:hint="eastAsia" w:ascii="仿宋" w:hAnsi="仿宋" w:eastAsia="仿宋" w:cs="仿宋"/>
              <w:sz w:val="24"/>
              <w:szCs w:val="24"/>
            </w:rPr>
            <w:t>- 31 -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_Toc9961 </w:instrText>
          </w:r>
          <w:r>
            <w:rPr>
              <w:rFonts w:hint="eastAsia" w:ascii="仿宋" w:hAnsi="仿宋" w:eastAsia="仿宋" w:cs="仿宋"/>
              <w:sz w:val="24"/>
              <w:szCs w:val="24"/>
            </w:rPr>
            <w:fldChar w:fldCharType="separate"/>
          </w:r>
          <w:r>
            <w:rPr>
              <w:rFonts w:hint="eastAsia" w:ascii="仿宋" w:hAnsi="仿宋" w:eastAsia="仿宋" w:cs="仿宋"/>
              <w:bCs/>
              <w:sz w:val="24"/>
              <w:szCs w:val="24"/>
            </w:rPr>
            <w:t>2.</w:t>
          </w:r>
          <w:r>
            <w:rPr>
              <w:rFonts w:hint="eastAsia" w:ascii="仿宋" w:hAnsi="仿宋" w:eastAsia="仿宋" w:cs="仿宋"/>
              <w:bCs/>
              <w:sz w:val="24"/>
              <w:szCs w:val="24"/>
              <w:lang w:val="en-US" w:eastAsia="zh-CN"/>
            </w:rPr>
            <w:t>7</w:t>
          </w:r>
          <w:r>
            <w:rPr>
              <w:rFonts w:hint="eastAsia" w:ascii="仿宋" w:hAnsi="仿宋" w:eastAsia="仿宋" w:cs="仿宋"/>
              <w:bCs/>
              <w:sz w:val="24"/>
              <w:szCs w:val="24"/>
            </w:rPr>
            <w:t>自然概况</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_Toc9961 </w:instrText>
          </w:r>
          <w:r>
            <w:rPr>
              <w:rFonts w:hint="eastAsia" w:ascii="仿宋" w:hAnsi="仿宋" w:eastAsia="仿宋" w:cs="仿宋"/>
              <w:sz w:val="24"/>
              <w:szCs w:val="24"/>
            </w:rPr>
            <w:fldChar w:fldCharType="separate"/>
          </w:r>
          <w:r>
            <w:rPr>
              <w:rFonts w:hint="eastAsia" w:ascii="仿宋" w:hAnsi="仿宋" w:eastAsia="仿宋" w:cs="仿宋"/>
              <w:sz w:val="24"/>
              <w:szCs w:val="24"/>
            </w:rPr>
            <w:t>- 31 -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_Toc15235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lang w:val="en-US" w:eastAsia="zh-CN"/>
            </w:rPr>
            <w:t>7</w:t>
          </w:r>
          <w:r>
            <w:rPr>
              <w:rFonts w:hint="eastAsia" w:ascii="仿宋" w:hAnsi="仿宋" w:eastAsia="仿宋" w:cs="仿宋"/>
              <w:sz w:val="24"/>
              <w:szCs w:val="24"/>
            </w:rPr>
            <w:t>.1地</w:t>
          </w:r>
          <w:r>
            <w:rPr>
              <w:rFonts w:hint="eastAsia" w:ascii="仿宋" w:hAnsi="仿宋" w:eastAsia="仿宋" w:cs="仿宋"/>
              <w:sz w:val="24"/>
              <w:szCs w:val="24"/>
              <w:lang w:eastAsia="zh-CN"/>
            </w:rPr>
            <w:t>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_Toc15235 </w:instrText>
          </w:r>
          <w:r>
            <w:rPr>
              <w:rFonts w:hint="eastAsia" w:ascii="仿宋" w:hAnsi="仿宋" w:eastAsia="仿宋" w:cs="仿宋"/>
              <w:sz w:val="24"/>
              <w:szCs w:val="24"/>
            </w:rPr>
            <w:fldChar w:fldCharType="separate"/>
          </w:r>
          <w:r>
            <w:rPr>
              <w:rFonts w:hint="eastAsia" w:ascii="仿宋" w:hAnsi="仿宋" w:eastAsia="仿宋" w:cs="仿宋"/>
              <w:sz w:val="24"/>
              <w:szCs w:val="24"/>
            </w:rPr>
            <w:t>- 31 -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_Toc2641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lang w:val="en-US" w:eastAsia="zh-CN"/>
            </w:rPr>
            <w:t>7</w:t>
          </w:r>
          <w:r>
            <w:rPr>
              <w:rFonts w:hint="eastAsia" w:ascii="仿宋" w:hAnsi="仿宋" w:eastAsia="仿宋" w:cs="仿宋"/>
              <w:sz w:val="24"/>
              <w:szCs w:val="24"/>
            </w:rPr>
            <w:t>.2地质构造</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_Toc2641 </w:instrText>
          </w:r>
          <w:r>
            <w:rPr>
              <w:rFonts w:hint="eastAsia" w:ascii="仿宋" w:hAnsi="仿宋" w:eastAsia="仿宋" w:cs="仿宋"/>
              <w:sz w:val="24"/>
              <w:szCs w:val="24"/>
            </w:rPr>
            <w:fldChar w:fldCharType="separate"/>
          </w:r>
          <w:r>
            <w:rPr>
              <w:rFonts w:hint="eastAsia" w:ascii="仿宋" w:hAnsi="仿宋" w:eastAsia="仿宋" w:cs="仿宋"/>
              <w:sz w:val="24"/>
              <w:szCs w:val="24"/>
            </w:rPr>
            <w:t>- 32 -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_Toc26628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lang w:val="en-US" w:eastAsia="zh-CN"/>
            </w:rPr>
            <w:t>7</w:t>
          </w:r>
          <w:r>
            <w:rPr>
              <w:rFonts w:hint="eastAsia" w:ascii="仿宋" w:hAnsi="仿宋" w:eastAsia="仿宋" w:cs="仿宋"/>
              <w:sz w:val="24"/>
              <w:szCs w:val="24"/>
            </w:rPr>
            <w:t>.3地震</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_Toc26628 </w:instrText>
          </w:r>
          <w:r>
            <w:rPr>
              <w:rFonts w:hint="eastAsia" w:ascii="仿宋" w:hAnsi="仿宋" w:eastAsia="仿宋" w:cs="仿宋"/>
              <w:sz w:val="24"/>
              <w:szCs w:val="24"/>
            </w:rPr>
            <w:fldChar w:fldCharType="separate"/>
          </w:r>
          <w:r>
            <w:rPr>
              <w:rFonts w:hint="eastAsia" w:ascii="仿宋" w:hAnsi="仿宋" w:eastAsia="仿宋" w:cs="仿宋"/>
              <w:sz w:val="24"/>
              <w:szCs w:val="24"/>
            </w:rPr>
            <w:t>- 32 -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_Toc24769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lang w:val="en-US" w:eastAsia="zh-CN"/>
            </w:rPr>
            <w:t>7</w:t>
          </w:r>
          <w:r>
            <w:rPr>
              <w:rFonts w:hint="eastAsia" w:ascii="仿宋" w:hAnsi="仿宋" w:eastAsia="仿宋" w:cs="仿宋"/>
              <w:sz w:val="24"/>
              <w:szCs w:val="24"/>
            </w:rPr>
            <w:t>.4水文地质</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_Toc24769 </w:instrText>
          </w:r>
          <w:r>
            <w:rPr>
              <w:rFonts w:hint="eastAsia" w:ascii="仿宋" w:hAnsi="仿宋" w:eastAsia="仿宋" w:cs="仿宋"/>
              <w:sz w:val="24"/>
              <w:szCs w:val="24"/>
            </w:rPr>
            <w:fldChar w:fldCharType="separate"/>
          </w:r>
          <w:r>
            <w:rPr>
              <w:rFonts w:hint="eastAsia" w:ascii="仿宋" w:hAnsi="仿宋" w:eastAsia="仿宋" w:cs="仿宋"/>
              <w:sz w:val="24"/>
              <w:szCs w:val="24"/>
            </w:rPr>
            <w:t>- 33 -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_Toc12412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lang w:val="en-US" w:eastAsia="zh-CN"/>
            </w:rPr>
            <w:t>7</w:t>
          </w:r>
          <w:r>
            <w:rPr>
              <w:rFonts w:hint="eastAsia" w:ascii="仿宋" w:hAnsi="仿宋" w:eastAsia="仿宋" w:cs="仿宋"/>
              <w:sz w:val="24"/>
              <w:szCs w:val="24"/>
            </w:rPr>
            <w:t>.5地形地貌</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_Toc12412 </w:instrText>
          </w:r>
          <w:r>
            <w:rPr>
              <w:rFonts w:hint="eastAsia" w:ascii="仿宋" w:hAnsi="仿宋" w:eastAsia="仿宋" w:cs="仿宋"/>
              <w:sz w:val="24"/>
              <w:szCs w:val="24"/>
            </w:rPr>
            <w:fldChar w:fldCharType="separate"/>
          </w:r>
          <w:r>
            <w:rPr>
              <w:rFonts w:hint="eastAsia" w:ascii="仿宋" w:hAnsi="仿宋" w:eastAsia="仿宋" w:cs="仿宋"/>
              <w:sz w:val="24"/>
              <w:szCs w:val="24"/>
            </w:rPr>
            <w:t>- 34 -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_Toc1321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lang w:val="en-US" w:eastAsia="zh-CN"/>
            </w:rPr>
            <w:t>7</w:t>
          </w:r>
          <w:r>
            <w:rPr>
              <w:rFonts w:hint="eastAsia" w:ascii="仿宋" w:hAnsi="仿宋" w:eastAsia="仿宋" w:cs="仿宋"/>
              <w:sz w:val="24"/>
              <w:szCs w:val="24"/>
            </w:rPr>
            <w:t>.6气候气象</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_Toc1321 </w:instrText>
          </w:r>
          <w:r>
            <w:rPr>
              <w:rFonts w:hint="eastAsia" w:ascii="仿宋" w:hAnsi="仿宋" w:eastAsia="仿宋" w:cs="仿宋"/>
              <w:sz w:val="24"/>
              <w:szCs w:val="24"/>
            </w:rPr>
            <w:fldChar w:fldCharType="separate"/>
          </w:r>
          <w:r>
            <w:rPr>
              <w:rFonts w:hint="eastAsia" w:ascii="仿宋" w:hAnsi="仿宋" w:eastAsia="仿宋" w:cs="仿宋"/>
              <w:sz w:val="24"/>
              <w:szCs w:val="24"/>
            </w:rPr>
            <w:t>- 34 -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_Toc9848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lang w:val="en-US" w:eastAsia="zh-CN"/>
            </w:rPr>
            <w:t>7</w:t>
          </w:r>
          <w:r>
            <w:rPr>
              <w:rFonts w:hint="eastAsia" w:ascii="仿宋" w:hAnsi="仿宋" w:eastAsia="仿宋" w:cs="仿宋"/>
              <w:sz w:val="24"/>
              <w:szCs w:val="24"/>
            </w:rPr>
            <w:t>.7地表水系</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_Toc9848 </w:instrText>
          </w:r>
          <w:r>
            <w:rPr>
              <w:rFonts w:hint="eastAsia" w:ascii="仿宋" w:hAnsi="仿宋" w:eastAsia="仿宋" w:cs="仿宋"/>
              <w:sz w:val="24"/>
              <w:szCs w:val="24"/>
            </w:rPr>
            <w:fldChar w:fldCharType="separate"/>
          </w:r>
          <w:r>
            <w:rPr>
              <w:rFonts w:hint="eastAsia" w:ascii="仿宋" w:hAnsi="仿宋" w:eastAsia="仿宋" w:cs="仿宋"/>
              <w:sz w:val="24"/>
              <w:szCs w:val="24"/>
            </w:rPr>
            <w:t>- 35 -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_Toc25528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lang w:val="en-US" w:eastAsia="zh-CN"/>
            </w:rPr>
            <w:t>7</w:t>
          </w:r>
          <w:r>
            <w:rPr>
              <w:rFonts w:hint="eastAsia" w:ascii="仿宋" w:hAnsi="仿宋" w:eastAsia="仿宋" w:cs="仿宋"/>
              <w:sz w:val="24"/>
              <w:szCs w:val="24"/>
            </w:rPr>
            <w:t>.8土壤</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_Toc25528 </w:instrText>
          </w:r>
          <w:r>
            <w:rPr>
              <w:rFonts w:hint="eastAsia" w:ascii="仿宋" w:hAnsi="仿宋" w:eastAsia="仿宋" w:cs="仿宋"/>
              <w:sz w:val="24"/>
              <w:szCs w:val="24"/>
            </w:rPr>
            <w:fldChar w:fldCharType="separate"/>
          </w:r>
          <w:r>
            <w:rPr>
              <w:rFonts w:hint="eastAsia" w:ascii="仿宋" w:hAnsi="仿宋" w:eastAsia="仿宋" w:cs="仿宋"/>
              <w:sz w:val="24"/>
              <w:szCs w:val="24"/>
            </w:rPr>
            <w:t>- 35 -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_Toc2783 </w:instrText>
          </w:r>
          <w:r>
            <w:rPr>
              <w:rFonts w:hint="eastAsia" w:ascii="仿宋" w:hAnsi="仿宋" w:eastAsia="仿宋" w:cs="仿宋"/>
              <w:sz w:val="24"/>
              <w:szCs w:val="24"/>
            </w:rPr>
            <w:fldChar w:fldCharType="separate"/>
          </w:r>
          <w:r>
            <w:rPr>
              <w:rFonts w:hint="eastAsia" w:ascii="仿宋" w:hAnsi="仿宋" w:eastAsia="仿宋" w:cs="仿宋"/>
              <w:sz w:val="24"/>
              <w:szCs w:val="24"/>
            </w:rPr>
            <w:t>2.</w:t>
          </w:r>
          <w:r>
            <w:rPr>
              <w:rFonts w:hint="eastAsia" w:ascii="仿宋" w:hAnsi="仿宋" w:eastAsia="仿宋" w:cs="仿宋"/>
              <w:sz w:val="24"/>
              <w:szCs w:val="24"/>
              <w:lang w:val="en-US" w:eastAsia="zh-CN"/>
            </w:rPr>
            <w:t>7</w:t>
          </w:r>
          <w:r>
            <w:rPr>
              <w:rFonts w:hint="eastAsia" w:ascii="仿宋" w:hAnsi="仿宋" w:eastAsia="仿宋" w:cs="仿宋"/>
              <w:sz w:val="24"/>
              <w:szCs w:val="24"/>
            </w:rPr>
            <w:t>.9植被</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_Toc2783 </w:instrText>
          </w:r>
          <w:r>
            <w:rPr>
              <w:rFonts w:hint="eastAsia" w:ascii="仿宋" w:hAnsi="仿宋" w:eastAsia="仿宋" w:cs="仿宋"/>
              <w:sz w:val="24"/>
              <w:szCs w:val="24"/>
            </w:rPr>
            <w:fldChar w:fldCharType="separate"/>
          </w:r>
          <w:r>
            <w:rPr>
              <w:rFonts w:hint="eastAsia" w:ascii="仿宋" w:hAnsi="仿宋" w:eastAsia="仿宋" w:cs="仿宋"/>
              <w:sz w:val="24"/>
              <w:szCs w:val="24"/>
            </w:rPr>
            <w:t>- 35 -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2"/>
            <w:tabs>
              <w:tab w:val="right" w:leader="dot" w:pos="8900"/>
            </w:tabs>
            <w:rPr>
              <w:rFonts w:hint="eastAsia" w:ascii="仿宋" w:hAnsi="仿宋" w:eastAsia="仿宋" w:cs="仿宋"/>
              <w:b/>
              <w:sz w:val="24"/>
              <w:szCs w:val="24"/>
            </w:rPr>
          </w:pPr>
          <w:r>
            <w:rPr>
              <w:rFonts w:hint="eastAsia" w:ascii="仿宋" w:hAnsi="仿宋" w:eastAsia="仿宋" w:cs="仿宋"/>
              <w:b/>
              <w:sz w:val="24"/>
              <w:szCs w:val="24"/>
            </w:rPr>
            <w:fldChar w:fldCharType="begin"/>
          </w:r>
          <w:r>
            <w:rPr>
              <w:rFonts w:hint="eastAsia" w:ascii="仿宋" w:hAnsi="仿宋" w:eastAsia="仿宋" w:cs="仿宋"/>
              <w:b/>
              <w:sz w:val="24"/>
              <w:szCs w:val="24"/>
            </w:rPr>
            <w:instrText xml:space="preserve"> HYPERLINK \l _Toc29031 </w:instrText>
          </w:r>
          <w:r>
            <w:rPr>
              <w:rFonts w:hint="eastAsia" w:ascii="仿宋" w:hAnsi="仿宋" w:eastAsia="仿宋" w:cs="仿宋"/>
              <w:b/>
              <w:sz w:val="24"/>
              <w:szCs w:val="24"/>
            </w:rPr>
            <w:fldChar w:fldCharType="separate"/>
          </w:r>
          <w:r>
            <w:rPr>
              <w:rFonts w:hint="eastAsia" w:ascii="仿宋" w:hAnsi="仿宋" w:eastAsia="仿宋" w:cs="仿宋"/>
              <w:b/>
              <w:sz w:val="24"/>
              <w:szCs w:val="24"/>
            </w:rPr>
            <w:t>3项目水土保持评价</w:t>
          </w:r>
          <w:r>
            <w:rPr>
              <w:rFonts w:hint="eastAsia" w:ascii="仿宋" w:hAnsi="仿宋" w:eastAsia="仿宋" w:cs="仿宋"/>
              <w:b/>
              <w:sz w:val="24"/>
              <w:szCs w:val="24"/>
            </w:rPr>
            <w:tab/>
          </w:r>
          <w:r>
            <w:rPr>
              <w:rFonts w:hint="eastAsia" w:ascii="仿宋" w:hAnsi="仿宋" w:eastAsia="仿宋" w:cs="仿宋"/>
              <w:b/>
              <w:sz w:val="24"/>
              <w:szCs w:val="24"/>
            </w:rPr>
            <w:fldChar w:fldCharType="begin"/>
          </w:r>
          <w:r>
            <w:rPr>
              <w:rFonts w:hint="eastAsia" w:ascii="仿宋" w:hAnsi="仿宋" w:eastAsia="仿宋" w:cs="仿宋"/>
              <w:b/>
              <w:sz w:val="24"/>
              <w:szCs w:val="24"/>
            </w:rPr>
            <w:instrText xml:space="preserve"> PAGEREF _Toc29031 </w:instrText>
          </w:r>
          <w:r>
            <w:rPr>
              <w:rFonts w:hint="eastAsia" w:ascii="仿宋" w:hAnsi="仿宋" w:eastAsia="仿宋" w:cs="仿宋"/>
              <w:b/>
              <w:sz w:val="24"/>
              <w:szCs w:val="24"/>
            </w:rPr>
            <w:fldChar w:fldCharType="separate"/>
          </w:r>
          <w:r>
            <w:rPr>
              <w:rFonts w:hint="eastAsia" w:ascii="仿宋" w:hAnsi="仿宋" w:eastAsia="仿宋" w:cs="仿宋"/>
              <w:b/>
              <w:sz w:val="24"/>
              <w:szCs w:val="24"/>
            </w:rPr>
            <w:t>- 36 -</w:t>
          </w:r>
          <w:r>
            <w:rPr>
              <w:rFonts w:hint="eastAsia" w:ascii="仿宋" w:hAnsi="仿宋" w:eastAsia="仿宋" w:cs="仿宋"/>
              <w:b/>
              <w:sz w:val="24"/>
              <w:szCs w:val="24"/>
            </w:rPr>
            <w:fldChar w:fldCharType="end"/>
          </w:r>
          <w:r>
            <w:rPr>
              <w:rFonts w:hint="eastAsia" w:ascii="仿宋" w:hAnsi="仿宋" w:eastAsia="仿宋" w:cs="仿宋"/>
              <w:b/>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_Toc32713 </w:instrText>
          </w:r>
          <w:r>
            <w:rPr>
              <w:rFonts w:hint="eastAsia" w:ascii="仿宋" w:hAnsi="仿宋" w:eastAsia="仿宋" w:cs="仿宋"/>
              <w:sz w:val="24"/>
              <w:szCs w:val="24"/>
            </w:rPr>
            <w:fldChar w:fldCharType="separate"/>
          </w:r>
          <w:r>
            <w:rPr>
              <w:rFonts w:hint="eastAsia" w:ascii="仿宋" w:hAnsi="仿宋" w:eastAsia="仿宋" w:cs="仿宋"/>
              <w:bCs/>
              <w:sz w:val="24"/>
              <w:szCs w:val="24"/>
            </w:rPr>
            <w:t>3.1主体工程选址水土保持评价</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_Toc32713 </w:instrText>
          </w:r>
          <w:r>
            <w:rPr>
              <w:rFonts w:hint="eastAsia" w:ascii="仿宋" w:hAnsi="仿宋" w:eastAsia="仿宋" w:cs="仿宋"/>
              <w:sz w:val="24"/>
              <w:szCs w:val="24"/>
            </w:rPr>
            <w:fldChar w:fldCharType="separate"/>
          </w:r>
          <w:r>
            <w:rPr>
              <w:rFonts w:hint="eastAsia" w:ascii="仿宋" w:hAnsi="仿宋" w:eastAsia="仿宋" w:cs="仿宋"/>
              <w:sz w:val="24"/>
              <w:szCs w:val="24"/>
            </w:rPr>
            <w:t>- 36 -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_Toc19684 </w:instrText>
          </w:r>
          <w:r>
            <w:rPr>
              <w:rFonts w:hint="eastAsia" w:ascii="仿宋" w:hAnsi="仿宋" w:eastAsia="仿宋" w:cs="仿宋"/>
              <w:sz w:val="24"/>
              <w:szCs w:val="24"/>
            </w:rPr>
            <w:fldChar w:fldCharType="separate"/>
          </w:r>
          <w:r>
            <w:rPr>
              <w:rFonts w:hint="eastAsia" w:ascii="仿宋" w:hAnsi="仿宋" w:eastAsia="仿宋" w:cs="仿宋"/>
              <w:bCs/>
              <w:sz w:val="24"/>
              <w:szCs w:val="24"/>
            </w:rPr>
            <w:t>3.2建设方案与布局水土保持评价</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_Toc19684 </w:instrText>
          </w:r>
          <w:r>
            <w:rPr>
              <w:rFonts w:hint="eastAsia" w:ascii="仿宋" w:hAnsi="仿宋" w:eastAsia="仿宋" w:cs="仿宋"/>
              <w:sz w:val="24"/>
              <w:szCs w:val="24"/>
            </w:rPr>
            <w:fldChar w:fldCharType="separate"/>
          </w:r>
          <w:r>
            <w:rPr>
              <w:rFonts w:hint="eastAsia" w:ascii="仿宋" w:hAnsi="仿宋" w:eastAsia="仿宋" w:cs="仿宋"/>
              <w:sz w:val="24"/>
              <w:szCs w:val="24"/>
            </w:rPr>
            <w:t>- 38 -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_Toc572 </w:instrText>
          </w:r>
          <w:r>
            <w:rPr>
              <w:rFonts w:hint="eastAsia" w:ascii="仿宋" w:hAnsi="仿宋" w:eastAsia="仿宋" w:cs="仿宋"/>
              <w:sz w:val="24"/>
              <w:szCs w:val="24"/>
            </w:rPr>
            <w:fldChar w:fldCharType="separate"/>
          </w:r>
          <w:r>
            <w:rPr>
              <w:rFonts w:hint="eastAsia" w:ascii="仿宋" w:hAnsi="仿宋" w:eastAsia="仿宋" w:cs="仿宋"/>
              <w:bCs/>
              <w:sz w:val="24"/>
              <w:szCs w:val="24"/>
            </w:rPr>
            <w:t>3.3主体工程设计中水土保持措施界定</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_Toc572 </w:instrText>
          </w:r>
          <w:r>
            <w:rPr>
              <w:rFonts w:hint="eastAsia" w:ascii="仿宋" w:hAnsi="仿宋" w:eastAsia="仿宋" w:cs="仿宋"/>
              <w:sz w:val="24"/>
              <w:szCs w:val="24"/>
            </w:rPr>
            <w:fldChar w:fldCharType="separate"/>
          </w:r>
          <w:r>
            <w:rPr>
              <w:rFonts w:hint="eastAsia" w:ascii="仿宋" w:hAnsi="仿宋" w:eastAsia="仿宋" w:cs="仿宋"/>
              <w:sz w:val="24"/>
              <w:szCs w:val="24"/>
            </w:rPr>
            <w:t>- 40 -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2"/>
            <w:tabs>
              <w:tab w:val="right" w:leader="dot" w:pos="8900"/>
            </w:tabs>
            <w:rPr>
              <w:rFonts w:hint="eastAsia" w:ascii="仿宋" w:hAnsi="仿宋" w:eastAsia="仿宋" w:cs="仿宋"/>
              <w:b/>
              <w:sz w:val="24"/>
              <w:szCs w:val="24"/>
            </w:rPr>
          </w:pPr>
          <w:r>
            <w:rPr>
              <w:rFonts w:hint="eastAsia" w:ascii="仿宋" w:hAnsi="仿宋" w:eastAsia="仿宋" w:cs="仿宋"/>
              <w:b/>
              <w:sz w:val="24"/>
              <w:szCs w:val="24"/>
            </w:rPr>
            <w:fldChar w:fldCharType="begin"/>
          </w:r>
          <w:r>
            <w:rPr>
              <w:rFonts w:hint="eastAsia" w:ascii="仿宋" w:hAnsi="仿宋" w:eastAsia="仿宋" w:cs="仿宋"/>
              <w:b/>
              <w:sz w:val="24"/>
              <w:szCs w:val="24"/>
            </w:rPr>
            <w:instrText xml:space="preserve"> HYPERLINK \l _Toc15340 </w:instrText>
          </w:r>
          <w:r>
            <w:rPr>
              <w:rFonts w:hint="eastAsia" w:ascii="仿宋" w:hAnsi="仿宋" w:eastAsia="仿宋" w:cs="仿宋"/>
              <w:b/>
              <w:sz w:val="24"/>
              <w:szCs w:val="24"/>
            </w:rPr>
            <w:fldChar w:fldCharType="separate"/>
          </w:r>
          <w:r>
            <w:rPr>
              <w:rFonts w:hint="eastAsia" w:ascii="仿宋" w:hAnsi="仿宋" w:eastAsia="仿宋" w:cs="仿宋"/>
              <w:b/>
              <w:sz w:val="24"/>
              <w:szCs w:val="24"/>
            </w:rPr>
            <w:t>4水土流失分析与预测</w:t>
          </w:r>
          <w:r>
            <w:rPr>
              <w:rFonts w:hint="eastAsia" w:ascii="仿宋" w:hAnsi="仿宋" w:eastAsia="仿宋" w:cs="仿宋"/>
              <w:b/>
              <w:sz w:val="24"/>
              <w:szCs w:val="24"/>
            </w:rPr>
            <w:tab/>
          </w:r>
          <w:r>
            <w:rPr>
              <w:rFonts w:hint="eastAsia" w:ascii="仿宋" w:hAnsi="仿宋" w:eastAsia="仿宋" w:cs="仿宋"/>
              <w:b/>
              <w:sz w:val="24"/>
              <w:szCs w:val="24"/>
            </w:rPr>
            <w:fldChar w:fldCharType="begin"/>
          </w:r>
          <w:r>
            <w:rPr>
              <w:rFonts w:hint="eastAsia" w:ascii="仿宋" w:hAnsi="仿宋" w:eastAsia="仿宋" w:cs="仿宋"/>
              <w:b/>
              <w:sz w:val="24"/>
              <w:szCs w:val="24"/>
            </w:rPr>
            <w:instrText xml:space="preserve"> PAGEREF _Toc15340 </w:instrText>
          </w:r>
          <w:r>
            <w:rPr>
              <w:rFonts w:hint="eastAsia" w:ascii="仿宋" w:hAnsi="仿宋" w:eastAsia="仿宋" w:cs="仿宋"/>
              <w:b/>
              <w:sz w:val="24"/>
              <w:szCs w:val="24"/>
            </w:rPr>
            <w:fldChar w:fldCharType="separate"/>
          </w:r>
          <w:r>
            <w:rPr>
              <w:rFonts w:hint="eastAsia" w:ascii="仿宋" w:hAnsi="仿宋" w:eastAsia="仿宋" w:cs="仿宋"/>
              <w:b/>
              <w:sz w:val="24"/>
              <w:szCs w:val="24"/>
            </w:rPr>
            <w:t>- 42 -</w:t>
          </w:r>
          <w:r>
            <w:rPr>
              <w:rFonts w:hint="eastAsia" w:ascii="仿宋" w:hAnsi="仿宋" w:eastAsia="仿宋" w:cs="仿宋"/>
              <w:b/>
              <w:sz w:val="24"/>
              <w:szCs w:val="24"/>
            </w:rPr>
            <w:fldChar w:fldCharType="end"/>
          </w:r>
          <w:r>
            <w:rPr>
              <w:rFonts w:hint="eastAsia" w:ascii="仿宋" w:hAnsi="仿宋" w:eastAsia="仿宋" w:cs="仿宋"/>
              <w:b/>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_Toc12964 </w:instrText>
          </w:r>
          <w:r>
            <w:rPr>
              <w:rFonts w:hint="eastAsia" w:ascii="仿宋" w:hAnsi="仿宋" w:eastAsia="仿宋" w:cs="仿宋"/>
              <w:sz w:val="24"/>
              <w:szCs w:val="24"/>
            </w:rPr>
            <w:fldChar w:fldCharType="separate"/>
          </w:r>
          <w:r>
            <w:rPr>
              <w:rFonts w:hint="eastAsia" w:ascii="仿宋" w:hAnsi="仿宋" w:eastAsia="仿宋" w:cs="仿宋"/>
              <w:bCs/>
              <w:sz w:val="24"/>
              <w:szCs w:val="24"/>
            </w:rPr>
            <w:t>4.1水土流失现状</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_Toc12964 </w:instrText>
          </w:r>
          <w:r>
            <w:rPr>
              <w:rFonts w:hint="eastAsia" w:ascii="仿宋" w:hAnsi="仿宋" w:eastAsia="仿宋" w:cs="仿宋"/>
              <w:sz w:val="24"/>
              <w:szCs w:val="24"/>
            </w:rPr>
            <w:fldChar w:fldCharType="separate"/>
          </w:r>
          <w:r>
            <w:rPr>
              <w:rFonts w:hint="eastAsia" w:ascii="仿宋" w:hAnsi="仿宋" w:eastAsia="仿宋" w:cs="仿宋"/>
              <w:sz w:val="24"/>
              <w:szCs w:val="24"/>
            </w:rPr>
            <w:t>- 42 -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_Toc4175 </w:instrText>
          </w:r>
          <w:r>
            <w:rPr>
              <w:rFonts w:hint="eastAsia" w:ascii="仿宋" w:hAnsi="仿宋" w:eastAsia="仿宋" w:cs="仿宋"/>
              <w:sz w:val="24"/>
              <w:szCs w:val="24"/>
            </w:rPr>
            <w:fldChar w:fldCharType="separate"/>
          </w:r>
          <w:r>
            <w:rPr>
              <w:rFonts w:hint="eastAsia" w:ascii="仿宋" w:hAnsi="仿宋" w:eastAsia="仿宋" w:cs="仿宋"/>
              <w:bCs/>
              <w:sz w:val="24"/>
              <w:szCs w:val="24"/>
            </w:rPr>
            <w:t>4.2水土流失影响因素分析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_Toc4175 </w:instrText>
          </w:r>
          <w:r>
            <w:rPr>
              <w:rFonts w:hint="eastAsia" w:ascii="仿宋" w:hAnsi="仿宋" w:eastAsia="仿宋" w:cs="仿宋"/>
              <w:sz w:val="24"/>
              <w:szCs w:val="24"/>
            </w:rPr>
            <w:fldChar w:fldCharType="separate"/>
          </w:r>
          <w:r>
            <w:rPr>
              <w:rFonts w:hint="eastAsia" w:ascii="仿宋" w:hAnsi="仿宋" w:eastAsia="仿宋" w:cs="仿宋"/>
              <w:sz w:val="24"/>
              <w:szCs w:val="24"/>
            </w:rPr>
            <w:t>- 42 -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_Toc27205 </w:instrText>
          </w:r>
          <w:r>
            <w:rPr>
              <w:rFonts w:hint="eastAsia" w:ascii="仿宋" w:hAnsi="仿宋" w:eastAsia="仿宋" w:cs="仿宋"/>
              <w:sz w:val="24"/>
              <w:szCs w:val="24"/>
            </w:rPr>
            <w:fldChar w:fldCharType="separate"/>
          </w:r>
          <w:r>
            <w:rPr>
              <w:rFonts w:hint="eastAsia" w:ascii="仿宋" w:hAnsi="仿宋" w:eastAsia="仿宋" w:cs="仿宋"/>
              <w:bCs/>
              <w:sz w:val="24"/>
              <w:szCs w:val="24"/>
            </w:rPr>
            <w:t>4.3土壤流失量</w:t>
          </w:r>
          <w:r>
            <w:rPr>
              <w:rFonts w:hint="eastAsia" w:ascii="仿宋" w:hAnsi="仿宋" w:eastAsia="仿宋" w:cs="仿宋"/>
              <w:bCs/>
              <w:sz w:val="24"/>
              <w:szCs w:val="24"/>
              <w:lang w:eastAsia="zh-CN"/>
            </w:rPr>
            <w:t>预测</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_Toc27205 </w:instrText>
          </w:r>
          <w:r>
            <w:rPr>
              <w:rFonts w:hint="eastAsia" w:ascii="仿宋" w:hAnsi="仿宋" w:eastAsia="仿宋" w:cs="仿宋"/>
              <w:sz w:val="24"/>
              <w:szCs w:val="24"/>
            </w:rPr>
            <w:fldChar w:fldCharType="separate"/>
          </w:r>
          <w:r>
            <w:rPr>
              <w:rFonts w:hint="eastAsia" w:ascii="仿宋" w:hAnsi="仿宋" w:eastAsia="仿宋" w:cs="仿宋"/>
              <w:sz w:val="24"/>
              <w:szCs w:val="24"/>
            </w:rPr>
            <w:t>- 43 -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_Toc6705 </w:instrText>
          </w:r>
          <w:r>
            <w:rPr>
              <w:rFonts w:hint="eastAsia" w:ascii="仿宋" w:hAnsi="仿宋" w:eastAsia="仿宋" w:cs="仿宋"/>
              <w:sz w:val="24"/>
              <w:szCs w:val="24"/>
            </w:rPr>
            <w:fldChar w:fldCharType="separate"/>
          </w:r>
          <w:r>
            <w:rPr>
              <w:rFonts w:hint="eastAsia" w:ascii="仿宋" w:hAnsi="仿宋" w:eastAsia="仿宋" w:cs="仿宋"/>
              <w:bCs/>
              <w:sz w:val="24"/>
              <w:szCs w:val="24"/>
            </w:rPr>
            <w:t>4.4水土流失危害分析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_Toc6705 </w:instrText>
          </w:r>
          <w:r>
            <w:rPr>
              <w:rFonts w:hint="eastAsia" w:ascii="仿宋" w:hAnsi="仿宋" w:eastAsia="仿宋" w:cs="仿宋"/>
              <w:sz w:val="24"/>
              <w:szCs w:val="24"/>
            </w:rPr>
            <w:fldChar w:fldCharType="separate"/>
          </w:r>
          <w:r>
            <w:rPr>
              <w:rFonts w:hint="eastAsia" w:ascii="仿宋" w:hAnsi="仿宋" w:eastAsia="仿宋" w:cs="仿宋"/>
              <w:sz w:val="24"/>
              <w:szCs w:val="24"/>
            </w:rPr>
            <w:t>- 47 -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_Toc19700 </w:instrText>
          </w:r>
          <w:r>
            <w:rPr>
              <w:rFonts w:hint="eastAsia" w:ascii="仿宋" w:hAnsi="仿宋" w:eastAsia="仿宋" w:cs="仿宋"/>
              <w:sz w:val="24"/>
              <w:szCs w:val="24"/>
            </w:rPr>
            <w:fldChar w:fldCharType="separate"/>
          </w:r>
          <w:r>
            <w:rPr>
              <w:rFonts w:hint="eastAsia" w:ascii="仿宋" w:hAnsi="仿宋" w:eastAsia="仿宋" w:cs="仿宋"/>
              <w:bCs/>
              <w:sz w:val="24"/>
              <w:szCs w:val="24"/>
            </w:rPr>
            <w:t>4.5指导性意见</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_Toc19700 </w:instrText>
          </w:r>
          <w:r>
            <w:rPr>
              <w:rFonts w:hint="eastAsia" w:ascii="仿宋" w:hAnsi="仿宋" w:eastAsia="仿宋" w:cs="仿宋"/>
              <w:sz w:val="24"/>
              <w:szCs w:val="24"/>
            </w:rPr>
            <w:fldChar w:fldCharType="separate"/>
          </w:r>
          <w:r>
            <w:rPr>
              <w:rFonts w:hint="eastAsia" w:ascii="仿宋" w:hAnsi="仿宋" w:eastAsia="仿宋" w:cs="仿宋"/>
              <w:sz w:val="24"/>
              <w:szCs w:val="24"/>
            </w:rPr>
            <w:t>- 48 -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2"/>
            <w:tabs>
              <w:tab w:val="right" w:leader="dot" w:pos="8900"/>
            </w:tabs>
            <w:rPr>
              <w:rFonts w:hint="eastAsia" w:ascii="仿宋" w:hAnsi="仿宋" w:eastAsia="仿宋" w:cs="仿宋"/>
              <w:b/>
              <w:sz w:val="24"/>
              <w:szCs w:val="24"/>
            </w:rPr>
          </w:pPr>
          <w:r>
            <w:rPr>
              <w:rFonts w:hint="eastAsia" w:ascii="仿宋" w:hAnsi="仿宋" w:eastAsia="仿宋" w:cs="仿宋"/>
              <w:b/>
              <w:sz w:val="24"/>
              <w:szCs w:val="24"/>
            </w:rPr>
            <w:fldChar w:fldCharType="begin"/>
          </w:r>
          <w:r>
            <w:rPr>
              <w:rFonts w:hint="eastAsia" w:ascii="仿宋" w:hAnsi="仿宋" w:eastAsia="仿宋" w:cs="仿宋"/>
              <w:b/>
              <w:sz w:val="24"/>
              <w:szCs w:val="24"/>
            </w:rPr>
            <w:instrText xml:space="preserve"> HYPERLINK \l _Toc14667 </w:instrText>
          </w:r>
          <w:r>
            <w:rPr>
              <w:rFonts w:hint="eastAsia" w:ascii="仿宋" w:hAnsi="仿宋" w:eastAsia="仿宋" w:cs="仿宋"/>
              <w:b/>
              <w:sz w:val="24"/>
              <w:szCs w:val="24"/>
            </w:rPr>
            <w:fldChar w:fldCharType="separate"/>
          </w:r>
          <w:r>
            <w:rPr>
              <w:rFonts w:hint="eastAsia" w:ascii="仿宋" w:hAnsi="仿宋" w:eastAsia="仿宋" w:cs="仿宋"/>
              <w:b/>
              <w:sz w:val="24"/>
              <w:szCs w:val="24"/>
            </w:rPr>
            <w:t>5水土保持措施</w:t>
          </w:r>
          <w:r>
            <w:rPr>
              <w:rFonts w:hint="eastAsia" w:ascii="仿宋" w:hAnsi="仿宋" w:eastAsia="仿宋" w:cs="仿宋"/>
              <w:b/>
              <w:sz w:val="24"/>
              <w:szCs w:val="24"/>
            </w:rPr>
            <w:tab/>
          </w:r>
          <w:r>
            <w:rPr>
              <w:rFonts w:hint="eastAsia" w:ascii="仿宋" w:hAnsi="仿宋" w:eastAsia="仿宋" w:cs="仿宋"/>
              <w:b/>
              <w:sz w:val="24"/>
              <w:szCs w:val="24"/>
            </w:rPr>
            <w:fldChar w:fldCharType="begin"/>
          </w:r>
          <w:r>
            <w:rPr>
              <w:rFonts w:hint="eastAsia" w:ascii="仿宋" w:hAnsi="仿宋" w:eastAsia="仿宋" w:cs="仿宋"/>
              <w:b/>
              <w:sz w:val="24"/>
              <w:szCs w:val="24"/>
            </w:rPr>
            <w:instrText xml:space="preserve"> PAGEREF _Toc14667 </w:instrText>
          </w:r>
          <w:r>
            <w:rPr>
              <w:rFonts w:hint="eastAsia" w:ascii="仿宋" w:hAnsi="仿宋" w:eastAsia="仿宋" w:cs="仿宋"/>
              <w:b/>
              <w:sz w:val="24"/>
              <w:szCs w:val="24"/>
            </w:rPr>
            <w:fldChar w:fldCharType="separate"/>
          </w:r>
          <w:r>
            <w:rPr>
              <w:rFonts w:hint="eastAsia" w:ascii="仿宋" w:hAnsi="仿宋" w:eastAsia="仿宋" w:cs="仿宋"/>
              <w:b/>
              <w:sz w:val="24"/>
              <w:szCs w:val="24"/>
            </w:rPr>
            <w:t>- 50 -</w:t>
          </w:r>
          <w:r>
            <w:rPr>
              <w:rFonts w:hint="eastAsia" w:ascii="仿宋" w:hAnsi="仿宋" w:eastAsia="仿宋" w:cs="仿宋"/>
              <w:b/>
              <w:sz w:val="24"/>
              <w:szCs w:val="24"/>
            </w:rPr>
            <w:fldChar w:fldCharType="end"/>
          </w:r>
          <w:r>
            <w:rPr>
              <w:rFonts w:hint="eastAsia" w:ascii="仿宋" w:hAnsi="仿宋" w:eastAsia="仿宋" w:cs="仿宋"/>
              <w:b/>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_Toc16854 </w:instrText>
          </w:r>
          <w:r>
            <w:rPr>
              <w:rFonts w:hint="eastAsia" w:ascii="仿宋" w:hAnsi="仿宋" w:eastAsia="仿宋" w:cs="仿宋"/>
              <w:sz w:val="24"/>
              <w:szCs w:val="24"/>
            </w:rPr>
            <w:fldChar w:fldCharType="separate"/>
          </w:r>
          <w:r>
            <w:rPr>
              <w:rFonts w:hint="eastAsia" w:ascii="仿宋" w:hAnsi="仿宋" w:eastAsia="仿宋" w:cs="仿宋"/>
              <w:bCs/>
              <w:sz w:val="24"/>
              <w:szCs w:val="24"/>
            </w:rPr>
            <w:t>5.1防治区划分</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_Toc16854 </w:instrText>
          </w:r>
          <w:r>
            <w:rPr>
              <w:rFonts w:hint="eastAsia" w:ascii="仿宋" w:hAnsi="仿宋" w:eastAsia="仿宋" w:cs="仿宋"/>
              <w:sz w:val="24"/>
              <w:szCs w:val="24"/>
            </w:rPr>
            <w:fldChar w:fldCharType="separate"/>
          </w:r>
          <w:r>
            <w:rPr>
              <w:rFonts w:hint="eastAsia" w:ascii="仿宋" w:hAnsi="仿宋" w:eastAsia="仿宋" w:cs="仿宋"/>
              <w:sz w:val="24"/>
              <w:szCs w:val="24"/>
            </w:rPr>
            <w:t>- 50 -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_Toc27958 </w:instrText>
          </w:r>
          <w:r>
            <w:rPr>
              <w:rFonts w:hint="eastAsia" w:ascii="仿宋" w:hAnsi="仿宋" w:eastAsia="仿宋" w:cs="仿宋"/>
              <w:sz w:val="24"/>
              <w:szCs w:val="24"/>
            </w:rPr>
            <w:fldChar w:fldCharType="separate"/>
          </w:r>
          <w:r>
            <w:rPr>
              <w:rFonts w:hint="eastAsia" w:ascii="仿宋" w:hAnsi="仿宋" w:eastAsia="仿宋" w:cs="仿宋"/>
              <w:bCs/>
              <w:sz w:val="24"/>
              <w:szCs w:val="24"/>
            </w:rPr>
            <w:t>5.2措施总体布局</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_Toc27958 </w:instrText>
          </w:r>
          <w:r>
            <w:rPr>
              <w:rFonts w:hint="eastAsia" w:ascii="仿宋" w:hAnsi="仿宋" w:eastAsia="仿宋" w:cs="仿宋"/>
              <w:sz w:val="24"/>
              <w:szCs w:val="24"/>
            </w:rPr>
            <w:fldChar w:fldCharType="separate"/>
          </w:r>
          <w:r>
            <w:rPr>
              <w:rFonts w:hint="eastAsia" w:ascii="仿宋" w:hAnsi="仿宋" w:eastAsia="仿宋" w:cs="仿宋"/>
              <w:sz w:val="24"/>
              <w:szCs w:val="24"/>
            </w:rPr>
            <w:t>- 51 -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_Toc21250 </w:instrText>
          </w:r>
          <w:r>
            <w:rPr>
              <w:rFonts w:hint="eastAsia" w:ascii="仿宋" w:hAnsi="仿宋" w:eastAsia="仿宋" w:cs="仿宋"/>
              <w:sz w:val="24"/>
              <w:szCs w:val="24"/>
            </w:rPr>
            <w:fldChar w:fldCharType="separate"/>
          </w:r>
          <w:r>
            <w:rPr>
              <w:rFonts w:hint="eastAsia" w:ascii="仿宋" w:hAnsi="仿宋" w:eastAsia="仿宋" w:cs="仿宋"/>
              <w:bCs/>
              <w:sz w:val="24"/>
              <w:szCs w:val="24"/>
            </w:rPr>
            <w:t>5.3分区措施布设</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_Toc21250 </w:instrText>
          </w:r>
          <w:r>
            <w:rPr>
              <w:rFonts w:hint="eastAsia" w:ascii="仿宋" w:hAnsi="仿宋" w:eastAsia="仿宋" w:cs="仿宋"/>
              <w:sz w:val="24"/>
              <w:szCs w:val="24"/>
            </w:rPr>
            <w:fldChar w:fldCharType="separate"/>
          </w:r>
          <w:r>
            <w:rPr>
              <w:rFonts w:hint="eastAsia" w:ascii="仿宋" w:hAnsi="仿宋" w:eastAsia="仿宋" w:cs="仿宋"/>
              <w:sz w:val="24"/>
              <w:szCs w:val="24"/>
            </w:rPr>
            <w:t>- 52 -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_Toc1285 </w:instrText>
          </w:r>
          <w:r>
            <w:rPr>
              <w:rFonts w:hint="eastAsia" w:ascii="仿宋" w:hAnsi="仿宋" w:eastAsia="仿宋" w:cs="仿宋"/>
              <w:sz w:val="24"/>
              <w:szCs w:val="24"/>
            </w:rPr>
            <w:fldChar w:fldCharType="separate"/>
          </w:r>
          <w:r>
            <w:rPr>
              <w:rFonts w:hint="eastAsia" w:ascii="仿宋" w:hAnsi="仿宋" w:eastAsia="仿宋" w:cs="仿宋"/>
              <w:bCs/>
              <w:sz w:val="24"/>
              <w:szCs w:val="24"/>
            </w:rPr>
            <w:t>5.4施工要求</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_Toc1285 </w:instrText>
          </w:r>
          <w:r>
            <w:rPr>
              <w:rFonts w:hint="eastAsia" w:ascii="仿宋" w:hAnsi="仿宋" w:eastAsia="仿宋" w:cs="仿宋"/>
              <w:sz w:val="24"/>
              <w:szCs w:val="24"/>
            </w:rPr>
            <w:fldChar w:fldCharType="separate"/>
          </w:r>
          <w:r>
            <w:rPr>
              <w:rFonts w:hint="eastAsia" w:ascii="仿宋" w:hAnsi="仿宋" w:eastAsia="仿宋" w:cs="仿宋"/>
              <w:sz w:val="24"/>
              <w:szCs w:val="24"/>
            </w:rPr>
            <w:t>- 57 -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2"/>
            <w:tabs>
              <w:tab w:val="right" w:leader="dot" w:pos="8900"/>
            </w:tabs>
            <w:rPr>
              <w:rFonts w:hint="eastAsia" w:ascii="仿宋" w:hAnsi="仿宋" w:eastAsia="仿宋" w:cs="仿宋"/>
              <w:b/>
              <w:sz w:val="24"/>
              <w:szCs w:val="24"/>
            </w:rPr>
          </w:pPr>
          <w:r>
            <w:rPr>
              <w:rFonts w:hint="eastAsia" w:ascii="仿宋" w:hAnsi="仿宋" w:eastAsia="仿宋" w:cs="仿宋"/>
              <w:b/>
              <w:sz w:val="24"/>
              <w:szCs w:val="24"/>
            </w:rPr>
            <w:fldChar w:fldCharType="begin"/>
          </w:r>
          <w:r>
            <w:rPr>
              <w:rFonts w:hint="eastAsia" w:ascii="仿宋" w:hAnsi="仿宋" w:eastAsia="仿宋" w:cs="仿宋"/>
              <w:b/>
              <w:sz w:val="24"/>
              <w:szCs w:val="24"/>
            </w:rPr>
            <w:instrText xml:space="preserve"> HYPERLINK \l _Toc13106 </w:instrText>
          </w:r>
          <w:r>
            <w:rPr>
              <w:rFonts w:hint="eastAsia" w:ascii="仿宋" w:hAnsi="仿宋" w:eastAsia="仿宋" w:cs="仿宋"/>
              <w:b/>
              <w:sz w:val="24"/>
              <w:szCs w:val="24"/>
            </w:rPr>
            <w:fldChar w:fldCharType="separate"/>
          </w:r>
          <w:r>
            <w:rPr>
              <w:rFonts w:hint="eastAsia" w:ascii="仿宋" w:hAnsi="仿宋" w:eastAsia="仿宋" w:cs="仿宋"/>
              <w:b/>
              <w:sz w:val="24"/>
              <w:szCs w:val="24"/>
            </w:rPr>
            <w:t>6水土保持监测</w:t>
          </w:r>
          <w:r>
            <w:rPr>
              <w:rFonts w:hint="eastAsia" w:ascii="仿宋" w:hAnsi="仿宋" w:eastAsia="仿宋" w:cs="仿宋"/>
              <w:b/>
              <w:sz w:val="24"/>
              <w:szCs w:val="24"/>
            </w:rPr>
            <w:tab/>
          </w:r>
          <w:r>
            <w:rPr>
              <w:rFonts w:hint="eastAsia" w:ascii="仿宋" w:hAnsi="仿宋" w:eastAsia="仿宋" w:cs="仿宋"/>
              <w:b/>
              <w:sz w:val="24"/>
              <w:szCs w:val="24"/>
            </w:rPr>
            <w:fldChar w:fldCharType="begin"/>
          </w:r>
          <w:r>
            <w:rPr>
              <w:rFonts w:hint="eastAsia" w:ascii="仿宋" w:hAnsi="仿宋" w:eastAsia="仿宋" w:cs="仿宋"/>
              <w:b/>
              <w:sz w:val="24"/>
              <w:szCs w:val="24"/>
            </w:rPr>
            <w:instrText xml:space="preserve"> PAGEREF _Toc13106 </w:instrText>
          </w:r>
          <w:r>
            <w:rPr>
              <w:rFonts w:hint="eastAsia" w:ascii="仿宋" w:hAnsi="仿宋" w:eastAsia="仿宋" w:cs="仿宋"/>
              <w:b/>
              <w:sz w:val="24"/>
              <w:szCs w:val="24"/>
            </w:rPr>
            <w:fldChar w:fldCharType="separate"/>
          </w:r>
          <w:r>
            <w:rPr>
              <w:rFonts w:hint="eastAsia" w:ascii="仿宋" w:hAnsi="仿宋" w:eastAsia="仿宋" w:cs="仿宋"/>
              <w:b/>
              <w:sz w:val="24"/>
              <w:szCs w:val="24"/>
            </w:rPr>
            <w:t>- 60 -</w:t>
          </w:r>
          <w:r>
            <w:rPr>
              <w:rFonts w:hint="eastAsia" w:ascii="仿宋" w:hAnsi="仿宋" w:eastAsia="仿宋" w:cs="仿宋"/>
              <w:b/>
              <w:sz w:val="24"/>
              <w:szCs w:val="24"/>
            </w:rPr>
            <w:fldChar w:fldCharType="end"/>
          </w:r>
          <w:r>
            <w:rPr>
              <w:rFonts w:hint="eastAsia" w:ascii="仿宋" w:hAnsi="仿宋" w:eastAsia="仿宋" w:cs="仿宋"/>
              <w:b/>
              <w:sz w:val="24"/>
              <w:szCs w:val="24"/>
            </w:rPr>
            <w:fldChar w:fldCharType="end"/>
          </w:r>
        </w:p>
        <w:p>
          <w:pPr>
            <w:pStyle w:val="212"/>
            <w:tabs>
              <w:tab w:val="right" w:leader="dot" w:pos="8900"/>
            </w:tabs>
            <w:rPr>
              <w:rFonts w:hint="eastAsia" w:ascii="仿宋" w:hAnsi="仿宋" w:eastAsia="仿宋" w:cs="仿宋"/>
              <w:b/>
              <w:sz w:val="24"/>
              <w:szCs w:val="24"/>
            </w:rPr>
          </w:pPr>
          <w:r>
            <w:rPr>
              <w:rFonts w:hint="eastAsia" w:ascii="仿宋" w:hAnsi="仿宋" w:eastAsia="仿宋" w:cs="仿宋"/>
              <w:b/>
              <w:sz w:val="24"/>
              <w:szCs w:val="24"/>
            </w:rPr>
            <w:fldChar w:fldCharType="begin"/>
          </w:r>
          <w:r>
            <w:rPr>
              <w:rFonts w:hint="eastAsia" w:ascii="仿宋" w:hAnsi="仿宋" w:eastAsia="仿宋" w:cs="仿宋"/>
              <w:b/>
              <w:sz w:val="24"/>
              <w:szCs w:val="24"/>
            </w:rPr>
            <w:instrText xml:space="preserve"> HYPERLINK \l _Toc20667 </w:instrText>
          </w:r>
          <w:r>
            <w:rPr>
              <w:rFonts w:hint="eastAsia" w:ascii="仿宋" w:hAnsi="仿宋" w:eastAsia="仿宋" w:cs="仿宋"/>
              <w:b/>
              <w:sz w:val="24"/>
              <w:szCs w:val="24"/>
            </w:rPr>
            <w:fldChar w:fldCharType="separate"/>
          </w:r>
          <w:r>
            <w:rPr>
              <w:rFonts w:hint="eastAsia" w:ascii="仿宋" w:hAnsi="仿宋" w:eastAsia="仿宋" w:cs="仿宋"/>
              <w:b/>
              <w:sz w:val="24"/>
              <w:szCs w:val="24"/>
            </w:rPr>
            <w:t>7水土保持投资估算及效益分析</w:t>
          </w:r>
          <w:r>
            <w:rPr>
              <w:rFonts w:hint="eastAsia" w:ascii="仿宋" w:hAnsi="仿宋" w:eastAsia="仿宋" w:cs="仿宋"/>
              <w:b/>
              <w:sz w:val="24"/>
              <w:szCs w:val="24"/>
            </w:rPr>
            <w:tab/>
          </w:r>
          <w:r>
            <w:rPr>
              <w:rFonts w:hint="eastAsia" w:ascii="仿宋" w:hAnsi="仿宋" w:eastAsia="仿宋" w:cs="仿宋"/>
              <w:b/>
              <w:sz w:val="24"/>
              <w:szCs w:val="24"/>
            </w:rPr>
            <w:fldChar w:fldCharType="begin"/>
          </w:r>
          <w:r>
            <w:rPr>
              <w:rFonts w:hint="eastAsia" w:ascii="仿宋" w:hAnsi="仿宋" w:eastAsia="仿宋" w:cs="仿宋"/>
              <w:b/>
              <w:sz w:val="24"/>
              <w:szCs w:val="24"/>
            </w:rPr>
            <w:instrText xml:space="preserve"> PAGEREF _Toc20667 </w:instrText>
          </w:r>
          <w:r>
            <w:rPr>
              <w:rFonts w:hint="eastAsia" w:ascii="仿宋" w:hAnsi="仿宋" w:eastAsia="仿宋" w:cs="仿宋"/>
              <w:b/>
              <w:sz w:val="24"/>
              <w:szCs w:val="24"/>
            </w:rPr>
            <w:fldChar w:fldCharType="separate"/>
          </w:r>
          <w:r>
            <w:rPr>
              <w:rFonts w:hint="eastAsia" w:ascii="仿宋" w:hAnsi="仿宋" w:eastAsia="仿宋" w:cs="仿宋"/>
              <w:b/>
              <w:sz w:val="24"/>
              <w:szCs w:val="24"/>
            </w:rPr>
            <w:t>- 61 -</w:t>
          </w:r>
          <w:r>
            <w:rPr>
              <w:rFonts w:hint="eastAsia" w:ascii="仿宋" w:hAnsi="仿宋" w:eastAsia="仿宋" w:cs="仿宋"/>
              <w:b/>
              <w:sz w:val="24"/>
              <w:szCs w:val="24"/>
            </w:rPr>
            <w:fldChar w:fldCharType="end"/>
          </w:r>
          <w:r>
            <w:rPr>
              <w:rFonts w:hint="eastAsia" w:ascii="仿宋" w:hAnsi="仿宋" w:eastAsia="仿宋" w:cs="仿宋"/>
              <w:b/>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_Toc25057 </w:instrText>
          </w:r>
          <w:r>
            <w:rPr>
              <w:rFonts w:hint="eastAsia" w:ascii="仿宋" w:hAnsi="仿宋" w:eastAsia="仿宋" w:cs="仿宋"/>
              <w:sz w:val="24"/>
              <w:szCs w:val="24"/>
            </w:rPr>
            <w:fldChar w:fldCharType="separate"/>
          </w:r>
          <w:r>
            <w:rPr>
              <w:rFonts w:hint="eastAsia" w:ascii="仿宋" w:hAnsi="仿宋" w:eastAsia="仿宋" w:cs="仿宋"/>
              <w:bCs/>
              <w:sz w:val="24"/>
              <w:szCs w:val="24"/>
            </w:rPr>
            <w:t>7.1投资估算</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_Toc25057 </w:instrText>
          </w:r>
          <w:r>
            <w:rPr>
              <w:rFonts w:hint="eastAsia" w:ascii="仿宋" w:hAnsi="仿宋" w:eastAsia="仿宋" w:cs="仿宋"/>
              <w:sz w:val="24"/>
              <w:szCs w:val="24"/>
            </w:rPr>
            <w:fldChar w:fldCharType="separate"/>
          </w:r>
          <w:r>
            <w:rPr>
              <w:rFonts w:hint="eastAsia" w:ascii="仿宋" w:hAnsi="仿宋" w:eastAsia="仿宋" w:cs="仿宋"/>
              <w:sz w:val="24"/>
              <w:szCs w:val="24"/>
            </w:rPr>
            <w:t>- 61 -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_Toc2909 </w:instrText>
          </w:r>
          <w:r>
            <w:rPr>
              <w:rFonts w:hint="eastAsia" w:ascii="仿宋" w:hAnsi="仿宋" w:eastAsia="仿宋" w:cs="仿宋"/>
              <w:sz w:val="24"/>
              <w:szCs w:val="24"/>
            </w:rPr>
            <w:fldChar w:fldCharType="separate"/>
          </w:r>
          <w:r>
            <w:rPr>
              <w:rFonts w:hint="eastAsia" w:ascii="仿宋" w:hAnsi="仿宋" w:eastAsia="仿宋" w:cs="仿宋"/>
              <w:bCs/>
              <w:sz w:val="24"/>
              <w:szCs w:val="24"/>
            </w:rPr>
            <w:t>7.2效益分析</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_Toc2909 </w:instrText>
          </w:r>
          <w:r>
            <w:rPr>
              <w:rFonts w:hint="eastAsia" w:ascii="仿宋" w:hAnsi="仿宋" w:eastAsia="仿宋" w:cs="仿宋"/>
              <w:sz w:val="24"/>
              <w:szCs w:val="24"/>
            </w:rPr>
            <w:fldChar w:fldCharType="separate"/>
          </w:r>
          <w:r>
            <w:rPr>
              <w:rFonts w:hint="eastAsia" w:ascii="仿宋" w:hAnsi="仿宋" w:eastAsia="仿宋" w:cs="仿宋"/>
              <w:sz w:val="24"/>
              <w:szCs w:val="24"/>
            </w:rPr>
            <w:t>- 67 -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2"/>
            <w:tabs>
              <w:tab w:val="right" w:leader="dot" w:pos="8900"/>
            </w:tabs>
            <w:rPr>
              <w:rFonts w:hint="eastAsia" w:ascii="仿宋" w:hAnsi="仿宋" w:eastAsia="仿宋" w:cs="仿宋"/>
              <w:b/>
              <w:sz w:val="24"/>
              <w:szCs w:val="24"/>
            </w:rPr>
          </w:pPr>
          <w:r>
            <w:rPr>
              <w:rFonts w:hint="eastAsia" w:ascii="仿宋" w:hAnsi="仿宋" w:eastAsia="仿宋" w:cs="仿宋"/>
              <w:b/>
              <w:sz w:val="24"/>
              <w:szCs w:val="24"/>
            </w:rPr>
            <w:fldChar w:fldCharType="begin"/>
          </w:r>
          <w:r>
            <w:rPr>
              <w:rFonts w:hint="eastAsia" w:ascii="仿宋" w:hAnsi="仿宋" w:eastAsia="仿宋" w:cs="仿宋"/>
              <w:b/>
              <w:sz w:val="24"/>
              <w:szCs w:val="24"/>
            </w:rPr>
            <w:instrText xml:space="preserve"> HYPERLINK \l _Toc27024 </w:instrText>
          </w:r>
          <w:r>
            <w:rPr>
              <w:rFonts w:hint="eastAsia" w:ascii="仿宋" w:hAnsi="仿宋" w:eastAsia="仿宋" w:cs="仿宋"/>
              <w:b/>
              <w:sz w:val="24"/>
              <w:szCs w:val="24"/>
            </w:rPr>
            <w:fldChar w:fldCharType="separate"/>
          </w:r>
          <w:r>
            <w:rPr>
              <w:rFonts w:hint="eastAsia" w:ascii="仿宋" w:hAnsi="仿宋" w:eastAsia="仿宋" w:cs="仿宋"/>
              <w:b/>
              <w:sz w:val="24"/>
              <w:szCs w:val="24"/>
            </w:rPr>
            <w:t>8水土保持管理</w:t>
          </w:r>
          <w:r>
            <w:rPr>
              <w:rFonts w:hint="eastAsia" w:ascii="仿宋" w:hAnsi="仿宋" w:eastAsia="仿宋" w:cs="仿宋"/>
              <w:b/>
              <w:sz w:val="24"/>
              <w:szCs w:val="24"/>
            </w:rPr>
            <w:tab/>
          </w:r>
          <w:r>
            <w:rPr>
              <w:rFonts w:hint="eastAsia" w:ascii="仿宋" w:hAnsi="仿宋" w:eastAsia="仿宋" w:cs="仿宋"/>
              <w:b/>
              <w:sz w:val="24"/>
              <w:szCs w:val="24"/>
            </w:rPr>
            <w:fldChar w:fldCharType="begin"/>
          </w:r>
          <w:r>
            <w:rPr>
              <w:rFonts w:hint="eastAsia" w:ascii="仿宋" w:hAnsi="仿宋" w:eastAsia="仿宋" w:cs="仿宋"/>
              <w:b/>
              <w:sz w:val="24"/>
              <w:szCs w:val="24"/>
            </w:rPr>
            <w:instrText xml:space="preserve"> PAGEREF _Toc27024 </w:instrText>
          </w:r>
          <w:r>
            <w:rPr>
              <w:rFonts w:hint="eastAsia" w:ascii="仿宋" w:hAnsi="仿宋" w:eastAsia="仿宋" w:cs="仿宋"/>
              <w:b/>
              <w:sz w:val="24"/>
              <w:szCs w:val="24"/>
            </w:rPr>
            <w:fldChar w:fldCharType="separate"/>
          </w:r>
          <w:r>
            <w:rPr>
              <w:rFonts w:hint="eastAsia" w:ascii="仿宋" w:hAnsi="仿宋" w:eastAsia="仿宋" w:cs="仿宋"/>
              <w:b/>
              <w:sz w:val="24"/>
              <w:szCs w:val="24"/>
            </w:rPr>
            <w:t>- 70 -</w:t>
          </w:r>
          <w:r>
            <w:rPr>
              <w:rFonts w:hint="eastAsia" w:ascii="仿宋" w:hAnsi="仿宋" w:eastAsia="仿宋" w:cs="仿宋"/>
              <w:b/>
              <w:sz w:val="24"/>
              <w:szCs w:val="24"/>
            </w:rPr>
            <w:fldChar w:fldCharType="end"/>
          </w:r>
          <w:r>
            <w:rPr>
              <w:rFonts w:hint="eastAsia" w:ascii="仿宋" w:hAnsi="仿宋" w:eastAsia="仿宋" w:cs="仿宋"/>
              <w:b/>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_Toc10931 </w:instrText>
          </w:r>
          <w:r>
            <w:rPr>
              <w:rFonts w:hint="eastAsia" w:ascii="仿宋" w:hAnsi="仿宋" w:eastAsia="仿宋" w:cs="仿宋"/>
              <w:sz w:val="24"/>
              <w:szCs w:val="24"/>
            </w:rPr>
            <w:fldChar w:fldCharType="separate"/>
          </w:r>
          <w:r>
            <w:rPr>
              <w:rFonts w:hint="eastAsia" w:ascii="仿宋" w:hAnsi="仿宋" w:eastAsia="仿宋" w:cs="仿宋"/>
              <w:bCs/>
              <w:sz w:val="24"/>
              <w:szCs w:val="24"/>
            </w:rPr>
            <w:t>8.1组织管理</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_Toc10931 </w:instrText>
          </w:r>
          <w:r>
            <w:rPr>
              <w:rFonts w:hint="eastAsia" w:ascii="仿宋" w:hAnsi="仿宋" w:eastAsia="仿宋" w:cs="仿宋"/>
              <w:sz w:val="24"/>
              <w:szCs w:val="24"/>
            </w:rPr>
            <w:fldChar w:fldCharType="separate"/>
          </w:r>
          <w:r>
            <w:rPr>
              <w:rFonts w:hint="eastAsia" w:ascii="仿宋" w:hAnsi="仿宋" w:eastAsia="仿宋" w:cs="仿宋"/>
              <w:sz w:val="24"/>
              <w:szCs w:val="24"/>
            </w:rPr>
            <w:t>- 70 -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_Toc20745 </w:instrText>
          </w:r>
          <w:r>
            <w:rPr>
              <w:rFonts w:hint="eastAsia" w:ascii="仿宋" w:hAnsi="仿宋" w:eastAsia="仿宋" w:cs="仿宋"/>
              <w:sz w:val="24"/>
              <w:szCs w:val="24"/>
            </w:rPr>
            <w:fldChar w:fldCharType="separate"/>
          </w:r>
          <w:r>
            <w:rPr>
              <w:rFonts w:hint="eastAsia" w:ascii="仿宋" w:hAnsi="仿宋" w:eastAsia="仿宋" w:cs="仿宋"/>
              <w:bCs/>
              <w:sz w:val="24"/>
              <w:szCs w:val="24"/>
            </w:rPr>
            <w:t>8.2后续设计</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_Toc20745 </w:instrText>
          </w:r>
          <w:r>
            <w:rPr>
              <w:rFonts w:hint="eastAsia" w:ascii="仿宋" w:hAnsi="仿宋" w:eastAsia="仿宋" w:cs="仿宋"/>
              <w:sz w:val="24"/>
              <w:szCs w:val="24"/>
            </w:rPr>
            <w:fldChar w:fldCharType="separate"/>
          </w:r>
          <w:r>
            <w:rPr>
              <w:rFonts w:hint="eastAsia" w:ascii="仿宋" w:hAnsi="仿宋" w:eastAsia="仿宋" w:cs="仿宋"/>
              <w:sz w:val="24"/>
              <w:szCs w:val="24"/>
            </w:rPr>
            <w:t>- 70 -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_Toc27125 </w:instrText>
          </w:r>
          <w:r>
            <w:rPr>
              <w:rFonts w:hint="eastAsia" w:ascii="仿宋" w:hAnsi="仿宋" w:eastAsia="仿宋" w:cs="仿宋"/>
              <w:sz w:val="24"/>
              <w:szCs w:val="24"/>
            </w:rPr>
            <w:fldChar w:fldCharType="separate"/>
          </w:r>
          <w:r>
            <w:rPr>
              <w:rFonts w:hint="eastAsia" w:ascii="仿宋" w:hAnsi="仿宋" w:eastAsia="仿宋" w:cs="仿宋"/>
              <w:bCs/>
              <w:sz w:val="24"/>
              <w:szCs w:val="24"/>
            </w:rPr>
            <w:t>8.3水土保持监测</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_Toc27125 </w:instrText>
          </w:r>
          <w:r>
            <w:rPr>
              <w:rFonts w:hint="eastAsia" w:ascii="仿宋" w:hAnsi="仿宋" w:eastAsia="仿宋" w:cs="仿宋"/>
              <w:sz w:val="24"/>
              <w:szCs w:val="24"/>
            </w:rPr>
            <w:fldChar w:fldCharType="separate"/>
          </w:r>
          <w:r>
            <w:rPr>
              <w:rFonts w:hint="eastAsia" w:ascii="仿宋" w:hAnsi="仿宋" w:eastAsia="仿宋" w:cs="仿宋"/>
              <w:sz w:val="24"/>
              <w:szCs w:val="24"/>
            </w:rPr>
            <w:t>- 70 -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_Toc24534 </w:instrText>
          </w:r>
          <w:r>
            <w:rPr>
              <w:rFonts w:hint="eastAsia" w:ascii="仿宋" w:hAnsi="仿宋" w:eastAsia="仿宋" w:cs="仿宋"/>
              <w:sz w:val="24"/>
              <w:szCs w:val="24"/>
            </w:rPr>
            <w:fldChar w:fldCharType="separate"/>
          </w:r>
          <w:r>
            <w:rPr>
              <w:rFonts w:hint="eastAsia" w:ascii="仿宋" w:hAnsi="仿宋" w:eastAsia="仿宋" w:cs="仿宋"/>
              <w:bCs/>
              <w:sz w:val="24"/>
              <w:szCs w:val="24"/>
            </w:rPr>
            <w:t>8.4水土保持监理</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_Toc24534 </w:instrText>
          </w:r>
          <w:r>
            <w:rPr>
              <w:rFonts w:hint="eastAsia" w:ascii="仿宋" w:hAnsi="仿宋" w:eastAsia="仿宋" w:cs="仿宋"/>
              <w:sz w:val="24"/>
              <w:szCs w:val="24"/>
            </w:rPr>
            <w:fldChar w:fldCharType="separate"/>
          </w:r>
          <w:r>
            <w:rPr>
              <w:rFonts w:hint="eastAsia" w:ascii="仿宋" w:hAnsi="仿宋" w:eastAsia="仿宋" w:cs="仿宋"/>
              <w:sz w:val="24"/>
              <w:szCs w:val="24"/>
            </w:rPr>
            <w:t>- 71 -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_Toc20214 </w:instrText>
          </w:r>
          <w:r>
            <w:rPr>
              <w:rFonts w:hint="eastAsia" w:ascii="仿宋" w:hAnsi="仿宋" w:eastAsia="仿宋" w:cs="仿宋"/>
              <w:sz w:val="24"/>
              <w:szCs w:val="24"/>
            </w:rPr>
            <w:fldChar w:fldCharType="separate"/>
          </w:r>
          <w:r>
            <w:rPr>
              <w:rFonts w:hint="eastAsia" w:ascii="仿宋" w:hAnsi="仿宋" w:eastAsia="仿宋" w:cs="仿宋"/>
              <w:bCs/>
              <w:sz w:val="24"/>
              <w:szCs w:val="24"/>
            </w:rPr>
            <w:t>8.5水土保持施工</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_Toc20214 </w:instrText>
          </w:r>
          <w:r>
            <w:rPr>
              <w:rFonts w:hint="eastAsia" w:ascii="仿宋" w:hAnsi="仿宋" w:eastAsia="仿宋" w:cs="仿宋"/>
              <w:sz w:val="24"/>
              <w:szCs w:val="24"/>
            </w:rPr>
            <w:fldChar w:fldCharType="separate"/>
          </w:r>
          <w:r>
            <w:rPr>
              <w:rFonts w:hint="eastAsia" w:ascii="仿宋" w:hAnsi="仿宋" w:eastAsia="仿宋" w:cs="仿宋"/>
              <w:sz w:val="24"/>
              <w:szCs w:val="24"/>
            </w:rPr>
            <w:t>- 71 -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213"/>
            <w:tabs>
              <w:tab w:val="right" w:leader="dot" w:pos="8900"/>
            </w:tabs>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_Toc5954 </w:instrText>
          </w:r>
          <w:r>
            <w:rPr>
              <w:rFonts w:hint="eastAsia" w:ascii="仿宋" w:hAnsi="仿宋" w:eastAsia="仿宋" w:cs="仿宋"/>
              <w:sz w:val="24"/>
              <w:szCs w:val="24"/>
            </w:rPr>
            <w:fldChar w:fldCharType="separate"/>
          </w:r>
          <w:r>
            <w:rPr>
              <w:rFonts w:hint="eastAsia" w:ascii="仿宋" w:hAnsi="仿宋" w:eastAsia="仿宋" w:cs="仿宋"/>
              <w:bCs/>
              <w:sz w:val="24"/>
              <w:szCs w:val="24"/>
            </w:rPr>
            <w:t>8.6水土保持设施验收</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_Toc5954 </w:instrText>
          </w:r>
          <w:r>
            <w:rPr>
              <w:rFonts w:hint="eastAsia" w:ascii="仿宋" w:hAnsi="仿宋" w:eastAsia="仿宋" w:cs="仿宋"/>
              <w:sz w:val="24"/>
              <w:szCs w:val="24"/>
            </w:rPr>
            <w:fldChar w:fldCharType="separate"/>
          </w:r>
          <w:r>
            <w:rPr>
              <w:rFonts w:hint="eastAsia" w:ascii="仿宋" w:hAnsi="仿宋" w:eastAsia="仿宋" w:cs="仿宋"/>
              <w:sz w:val="24"/>
              <w:szCs w:val="24"/>
            </w:rPr>
            <w:t>- 72 -</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43"/>
            <w:ind w:firstLine="0" w:firstLineChars="0"/>
            <w:rPr>
              <w:rFonts w:hint="eastAsia" w:ascii="Times New Roman" w:hAnsi="Times New Roman" w:eastAsia="宋体" w:cs="Times New Roman"/>
              <w:b/>
              <w:kern w:val="2"/>
              <w:sz w:val="24"/>
              <w:szCs w:val="24"/>
              <w:lang w:val="en-US" w:eastAsia="zh-CN" w:bidi="ar-SA"/>
            </w:rPr>
            <w:sectPr>
              <w:headerReference r:id="rId4" w:type="default"/>
              <w:footerReference r:id="rId5" w:type="default"/>
              <w:pgSz w:w="11906" w:h="16838"/>
              <w:pgMar w:top="1588" w:right="1503" w:bottom="1588" w:left="1503" w:header="1021" w:footer="907" w:gutter="0"/>
              <w:pgBorders>
                <w:top w:val="none" w:sz="0" w:space="0"/>
                <w:left w:val="none" w:sz="0" w:space="0"/>
                <w:bottom w:val="none" w:sz="0" w:space="0"/>
                <w:right w:val="none" w:sz="0" w:space="0"/>
              </w:pgBorders>
              <w:pgNumType w:fmt="numberInDash"/>
              <w:cols w:space="425" w:num="1"/>
              <w:docGrid w:type="lines" w:linePitch="326" w:charSpace="0"/>
            </w:sectPr>
          </w:pPr>
          <w:r>
            <w:rPr>
              <w:rFonts w:hint="eastAsia"/>
              <w:b/>
            </w:rPr>
            <w:fldChar w:fldCharType="end"/>
          </w:r>
        </w:p>
      </w:sdtContent>
    </w:sdt>
    <w:p>
      <w:pPr>
        <w:pStyle w:val="43"/>
        <w:ind w:firstLine="0" w:firstLineChars="0"/>
        <w:rPr>
          <w:rFonts w:hint="eastAsia" w:ascii="Times New Roman" w:hAnsi="Times New Roman" w:eastAsia="宋体" w:cs="Times New Roman"/>
          <w:b/>
          <w:kern w:val="2"/>
          <w:sz w:val="24"/>
          <w:szCs w:val="24"/>
          <w:lang w:val="en-US" w:eastAsia="zh-CN" w:bidi="ar-SA"/>
        </w:rPr>
      </w:pPr>
    </w:p>
    <w:p>
      <w:pPr>
        <w:pStyle w:val="43"/>
        <w:ind w:firstLine="0" w:firstLineChars="0"/>
        <w:outlineLvl w:val="0"/>
        <w:rPr>
          <w:b/>
        </w:rPr>
      </w:pPr>
      <w:bookmarkStart w:id="13" w:name="_Toc19521"/>
      <w:r>
        <w:rPr>
          <w:rFonts w:hint="eastAsia"/>
          <w:b/>
        </w:rPr>
        <w:t>附件：</w:t>
      </w:r>
      <w:bookmarkEnd w:id="13"/>
    </w:p>
    <w:p>
      <w:pPr>
        <w:pStyle w:val="43"/>
        <w:numPr>
          <w:ilvl w:val="0"/>
          <w:numId w:val="1"/>
        </w:numPr>
        <w:ind w:firstLine="578" w:firstLineChars="241"/>
        <w:outlineLvl w:val="0"/>
        <w:rPr>
          <w:rFonts w:hint="eastAsia"/>
        </w:rPr>
      </w:pPr>
      <w:bookmarkStart w:id="14" w:name="_Toc31579"/>
      <w:r>
        <w:rPr>
          <w:rFonts w:hint="eastAsia"/>
        </w:rPr>
        <w:t>水土保持方案报告表简要说明</w:t>
      </w:r>
      <w:bookmarkEnd w:id="14"/>
    </w:p>
    <w:p>
      <w:pPr>
        <w:pStyle w:val="43"/>
        <w:numPr>
          <w:ilvl w:val="0"/>
          <w:numId w:val="1"/>
        </w:numPr>
        <w:ind w:firstLine="578" w:firstLineChars="241"/>
        <w:outlineLvl w:val="0"/>
        <w:rPr>
          <w:rFonts w:hint="eastAsia"/>
        </w:rPr>
      </w:pPr>
      <w:bookmarkStart w:id="15" w:name="_Toc1741"/>
      <w:r>
        <w:rPr>
          <w:rFonts w:hint="eastAsia"/>
          <w:lang w:eastAsia="zh-CN"/>
        </w:rPr>
        <w:t>备案文件</w:t>
      </w:r>
      <w:bookmarkEnd w:id="15"/>
    </w:p>
    <w:p>
      <w:pPr>
        <w:pStyle w:val="43"/>
        <w:numPr>
          <w:ilvl w:val="0"/>
          <w:numId w:val="1"/>
        </w:numPr>
        <w:ind w:firstLine="578" w:firstLineChars="241"/>
        <w:outlineLvl w:val="0"/>
        <w:rPr>
          <w:rFonts w:hint="eastAsia"/>
        </w:rPr>
      </w:pPr>
      <w:bookmarkStart w:id="16" w:name="_Toc23459"/>
      <w:r>
        <w:rPr>
          <w:rFonts w:hint="eastAsia"/>
          <w:lang w:eastAsia="zh-CN"/>
        </w:rPr>
        <w:t>营业执照</w:t>
      </w:r>
      <w:bookmarkEnd w:id="16"/>
    </w:p>
    <w:p>
      <w:pPr>
        <w:pStyle w:val="43"/>
        <w:numPr>
          <w:ilvl w:val="0"/>
          <w:numId w:val="1"/>
        </w:numPr>
        <w:ind w:firstLine="578" w:firstLineChars="241"/>
        <w:outlineLvl w:val="0"/>
        <w:rPr>
          <w:rFonts w:hint="eastAsia"/>
        </w:rPr>
      </w:pPr>
      <w:bookmarkStart w:id="17" w:name="_Toc29519"/>
      <w:r>
        <w:rPr>
          <w:rFonts w:hint="eastAsia"/>
          <w:lang w:eastAsia="zh-CN"/>
        </w:rPr>
        <w:t>委托书</w:t>
      </w:r>
      <w:bookmarkEnd w:id="17"/>
    </w:p>
    <w:p>
      <w:pPr>
        <w:pStyle w:val="43"/>
        <w:numPr>
          <w:ilvl w:val="0"/>
          <w:numId w:val="1"/>
        </w:numPr>
        <w:ind w:firstLine="578" w:firstLineChars="241"/>
        <w:outlineLvl w:val="0"/>
        <w:rPr>
          <w:rFonts w:hint="eastAsia"/>
        </w:rPr>
      </w:pPr>
      <w:bookmarkStart w:id="18" w:name="_Toc14001"/>
      <w:r>
        <w:rPr>
          <w:rFonts w:hint="eastAsia"/>
          <w:lang w:eastAsia="zh-CN"/>
        </w:rPr>
        <w:t>废石购销合同</w:t>
      </w:r>
      <w:bookmarkEnd w:id="18"/>
    </w:p>
    <w:p>
      <w:pPr>
        <w:pStyle w:val="43"/>
        <w:numPr>
          <w:ilvl w:val="0"/>
          <w:numId w:val="1"/>
        </w:numPr>
        <w:ind w:firstLine="578" w:firstLineChars="241"/>
        <w:outlineLvl w:val="0"/>
        <w:rPr>
          <w:rFonts w:hint="eastAsia"/>
        </w:rPr>
      </w:pPr>
      <w:bookmarkStart w:id="19" w:name="_Toc9868"/>
      <w:r>
        <w:rPr>
          <w:rFonts w:hint="eastAsia"/>
          <w:lang w:eastAsia="zh-CN"/>
        </w:rPr>
        <w:t>水土保持措施单价表</w:t>
      </w:r>
      <w:bookmarkEnd w:id="19"/>
    </w:p>
    <w:p>
      <w:pPr>
        <w:pStyle w:val="43"/>
        <w:numPr>
          <w:ilvl w:val="0"/>
          <w:numId w:val="1"/>
        </w:numPr>
        <w:ind w:firstLine="578" w:firstLineChars="241"/>
        <w:outlineLvl w:val="0"/>
        <w:rPr>
          <w:rFonts w:hint="eastAsia"/>
        </w:rPr>
      </w:pPr>
      <w:bookmarkStart w:id="20" w:name="_Toc23909"/>
      <w:r>
        <w:rPr>
          <w:rFonts w:hint="eastAsia"/>
          <w:lang w:eastAsia="zh-CN"/>
        </w:rPr>
        <w:t>修改说明</w:t>
      </w:r>
      <w:bookmarkEnd w:id="20"/>
    </w:p>
    <w:p>
      <w:pPr>
        <w:pStyle w:val="43"/>
        <w:ind w:firstLine="0" w:firstLineChars="0"/>
        <w:outlineLvl w:val="0"/>
        <w:rPr>
          <w:b/>
        </w:rPr>
      </w:pPr>
      <w:bookmarkStart w:id="21" w:name="_Toc18512"/>
      <w:r>
        <w:rPr>
          <w:rFonts w:hint="eastAsia"/>
          <w:b/>
        </w:rPr>
        <w:t>附图：</w:t>
      </w:r>
      <w:bookmarkEnd w:id="21"/>
    </w:p>
    <w:p>
      <w:pPr>
        <w:pStyle w:val="43"/>
        <w:ind w:firstLine="588" w:firstLineChars="245"/>
        <w:outlineLvl w:val="0"/>
        <w:rPr>
          <w:rFonts w:hint="eastAsia"/>
        </w:rPr>
      </w:pPr>
      <w:bookmarkStart w:id="22" w:name="_Toc12573"/>
      <w:r>
        <w:rPr>
          <w:rFonts w:hint="eastAsia"/>
        </w:rPr>
        <w:t>1、工程地理位置图</w:t>
      </w:r>
      <w:bookmarkEnd w:id="22"/>
    </w:p>
    <w:p>
      <w:pPr>
        <w:pStyle w:val="43"/>
        <w:ind w:firstLine="588" w:firstLineChars="245"/>
        <w:outlineLvl w:val="0"/>
        <w:rPr>
          <w:rFonts w:hint="eastAsia"/>
        </w:rPr>
      </w:pPr>
      <w:bookmarkStart w:id="23" w:name="_Toc12853"/>
      <w:r>
        <w:rPr>
          <w:rFonts w:hint="eastAsia"/>
          <w:lang w:val="en-US" w:eastAsia="zh-CN"/>
        </w:rPr>
        <w:t>2、</w:t>
      </w:r>
      <w:r>
        <w:rPr>
          <w:rFonts w:hint="eastAsia"/>
        </w:rPr>
        <w:t>项目区水系图</w:t>
      </w:r>
      <w:bookmarkEnd w:id="23"/>
    </w:p>
    <w:p>
      <w:pPr>
        <w:pStyle w:val="43"/>
        <w:ind w:firstLine="588" w:firstLineChars="245"/>
        <w:outlineLvl w:val="0"/>
      </w:pPr>
      <w:bookmarkStart w:id="24" w:name="_Toc5089"/>
      <w:r>
        <w:rPr>
          <w:rFonts w:hint="eastAsia"/>
          <w:lang w:val="en-US" w:eastAsia="zh-CN"/>
        </w:rPr>
        <w:t>3</w:t>
      </w:r>
      <w:r>
        <w:rPr>
          <w:rFonts w:hint="eastAsia"/>
        </w:rPr>
        <w:t>、工程总平面布置图</w:t>
      </w:r>
      <w:bookmarkEnd w:id="9"/>
      <w:bookmarkEnd w:id="10"/>
      <w:bookmarkEnd w:id="11"/>
      <w:bookmarkEnd w:id="12"/>
      <w:bookmarkEnd w:id="24"/>
    </w:p>
    <w:p>
      <w:pPr>
        <w:pStyle w:val="43"/>
        <w:ind w:firstLine="588" w:firstLineChars="245"/>
        <w:outlineLvl w:val="0"/>
        <w:rPr>
          <w:rFonts w:hint="eastAsia" w:eastAsia="宋体"/>
          <w:lang w:eastAsia="zh-CN"/>
        </w:rPr>
      </w:pPr>
      <w:bookmarkStart w:id="25" w:name="_Toc14772"/>
      <w:r>
        <w:rPr>
          <w:rFonts w:hint="eastAsia"/>
          <w:lang w:val="en-US" w:eastAsia="zh-CN"/>
        </w:rPr>
        <w:t>4</w:t>
      </w:r>
      <w:r>
        <w:rPr>
          <w:rFonts w:hint="eastAsia"/>
        </w:rPr>
        <w:t>、</w:t>
      </w:r>
      <w:r>
        <w:rPr>
          <w:rFonts w:hint="eastAsia"/>
          <w:lang w:eastAsia="zh-CN"/>
        </w:rPr>
        <w:t>采场典型设计</w:t>
      </w:r>
      <w:bookmarkEnd w:id="25"/>
    </w:p>
    <w:p>
      <w:pPr>
        <w:pStyle w:val="43"/>
        <w:ind w:firstLine="588" w:firstLineChars="245"/>
        <w:outlineLvl w:val="0"/>
        <w:rPr>
          <w:rFonts w:hint="eastAsia"/>
        </w:rPr>
        <w:sectPr>
          <w:pgSz w:w="11906" w:h="16838"/>
          <w:pgMar w:top="1588" w:right="1503" w:bottom="1588" w:left="1503" w:header="1021" w:footer="907" w:gutter="0"/>
          <w:pgBorders>
            <w:top w:val="none" w:sz="0" w:space="0"/>
            <w:left w:val="none" w:sz="0" w:space="0"/>
            <w:bottom w:val="none" w:sz="0" w:space="0"/>
            <w:right w:val="none" w:sz="0" w:space="0"/>
          </w:pgBorders>
          <w:pgNumType w:fmt="numberInDash"/>
          <w:cols w:space="425" w:num="1"/>
          <w:docGrid w:type="lines" w:linePitch="326" w:charSpace="0"/>
        </w:sectPr>
      </w:pPr>
      <w:bookmarkStart w:id="26" w:name="_Toc15012"/>
      <w:r>
        <w:rPr>
          <w:rFonts w:hint="eastAsia"/>
          <w:lang w:val="en-US" w:eastAsia="zh-CN"/>
        </w:rPr>
        <w:t>5</w:t>
      </w:r>
      <w:r>
        <w:rPr>
          <w:rFonts w:hint="eastAsia"/>
        </w:rPr>
        <w:t>、</w:t>
      </w:r>
      <w:r>
        <w:rPr>
          <w:rFonts w:hint="eastAsia"/>
          <w:lang w:eastAsia="zh-CN"/>
        </w:rPr>
        <w:t>排水沟截水沟典型设计</w:t>
      </w:r>
      <w:bookmarkEnd w:id="26"/>
    </w:p>
    <w:p>
      <w:pPr>
        <w:pStyle w:val="3"/>
        <w:rPr>
          <w:rFonts w:ascii="Times New Roman" w:hAnsi="Times New Roman" w:eastAsia="仿宋_GB2312"/>
        </w:rPr>
      </w:pPr>
      <w:bookmarkStart w:id="27" w:name="_Toc11204"/>
      <w:bookmarkStart w:id="28" w:name="_Toc10187"/>
      <w:r>
        <w:rPr>
          <w:rFonts w:ascii="Times New Roman" w:hAnsi="Times New Roman" w:eastAsia="仿宋_GB2312"/>
        </w:rPr>
        <w:t>1 综合说明</w:t>
      </w:r>
      <w:bookmarkEnd w:id="27"/>
      <w:bookmarkEnd w:id="28"/>
    </w:p>
    <w:p>
      <w:pPr>
        <w:pStyle w:val="4"/>
        <w:spacing w:before="120" w:after="120" w:line="360" w:lineRule="auto"/>
        <w:ind w:firstLine="0"/>
        <w:rPr>
          <w:rFonts w:ascii="Times New Roman" w:hAnsi="Times New Roman" w:eastAsia="仿宋_GB2312" w:cs="Times New Roman"/>
          <w:b/>
          <w:bCs/>
          <w:sz w:val="32"/>
          <w:szCs w:val="32"/>
        </w:rPr>
      </w:pPr>
      <w:bookmarkStart w:id="29" w:name="_Toc31456"/>
      <w:bookmarkStart w:id="30" w:name="_Toc1945"/>
      <w:r>
        <w:rPr>
          <w:rFonts w:ascii="Times New Roman" w:hAnsi="Times New Roman" w:eastAsia="仿宋_GB2312" w:cs="Times New Roman"/>
          <w:b/>
          <w:bCs/>
          <w:sz w:val="32"/>
          <w:szCs w:val="32"/>
        </w:rPr>
        <w:t>1.1 项目简况</w:t>
      </w:r>
      <w:bookmarkEnd w:id="29"/>
      <w:bookmarkEnd w:id="30"/>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1.1.1项目基本情况</w:t>
      </w:r>
    </w:p>
    <w:p>
      <w:pPr>
        <w:spacing w:line="360" w:lineRule="auto"/>
        <w:outlineLvl w:val="3"/>
        <w:rPr>
          <w:rFonts w:ascii="Times New Roman" w:hAnsi="Times New Roman" w:eastAsia="仿宋_GB2312"/>
          <w:b/>
          <w:bCs/>
          <w:sz w:val="24"/>
          <w:szCs w:val="24"/>
        </w:rPr>
      </w:pPr>
      <w:r>
        <w:rPr>
          <w:rFonts w:ascii="Times New Roman" w:hAnsi="Times New Roman" w:eastAsia="仿宋_GB2312"/>
          <w:b/>
          <w:bCs/>
          <w:sz w:val="24"/>
          <w:szCs w:val="24"/>
        </w:rPr>
        <w:t>1.1.1.1项目建设的必要性</w:t>
      </w:r>
    </w:p>
    <w:p>
      <w:pPr>
        <w:spacing w:line="360" w:lineRule="auto"/>
        <w:ind w:firstLine="480" w:firstLineChars="200"/>
        <w:rPr>
          <w:rFonts w:hint="eastAsia" w:ascii="Times New Roman" w:hAnsi="Times New Roman" w:eastAsia="仿宋_GB2312"/>
          <w:bCs/>
          <w:sz w:val="24"/>
          <w:szCs w:val="24"/>
        </w:rPr>
      </w:pPr>
      <w:r>
        <w:rPr>
          <w:rFonts w:hint="eastAsia" w:ascii="Times New Roman" w:hAnsi="Times New Roman" w:eastAsia="仿宋_GB2312"/>
          <w:bCs/>
          <w:sz w:val="24"/>
          <w:szCs w:val="24"/>
        </w:rPr>
        <w:t>近年来，曲沃县城镇建设快速发展需要消耗大量的建筑石料</w:t>
      </w:r>
      <w:r>
        <w:rPr>
          <w:rFonts w:hint="eastAsia" w:ascii="Times New Roman" w:hAnsi="Times New Roman" w:eastAsia="仿宋_GB2312"/>
          <w:bCs/>
          <w:sz w:val="24"/>
          <w:szCs w:val="24"/>
          <w:lang w:eastAsia="zh-CN"/>
        </w:rPr>
        <w:t>及水泥</w:t>
      </w:r>
      <w:r>
        <w:rPr>
          <w:rFonts w:hint="eastAsia" w:ascii="Times New Roman" w:hAnsi="Times New Roman" w:eastAsia="仿宋_GB2312"/>
          <w:bCs/>
          <w:sz w:val="24"/>
          <w:szCs w:val="24"/>
        </w:rPr>
        <w:t>，现阶段正处于全面建设小康社会的关键时期，国民经济仍将保持平稳较快增长，建材工业未来面临着发展机遇。工业化、城镇化和新农村建设进一步拉动内需，保障性安居工程以及轨道交通、水利、农业及农村等基础设施建设带动建材</w:t>
      </w:r>
      <w:r>
        <w:rPr>
          <w:rFonts w:hint="eastAsia" w:ascii="Times New Roman" w:hAnsi="Times New Roman" w:eastAsia="仿宋_GB2312"/>
          <w:bCs/>
          <w:sz w:val="24"/>
          <w:szCs w:val="24"/>
          <w:lang w:eastAsia="zh-CN"/>
        </w:rPr>
        <w:t>和水泥成品的</w:t>
      </w:r>
      <w:r>
        <w:rPr>
          <w:rFonts w:hint="eastAsia" w:ascii="Times New Roman" w:hAnsi="Times New Roman" w:eastAsia="仿宋_GB2312"/>
          <w:bCs/>
          <w:sz w:val="24"/>
          <w:szCs w:val="24"/>
        </w:rPr>
        <w:t>需求</w:t>
      </w:r>
      <w:r>
        <w:rPr>
          <w:rFonts w:hint="eastAsia" w:ascii="Times New Roman" w:hAnsi="Times New Roman" w:eastAsia="仿宋_GB2312"/>
          <w:bCs/>
          <w:sz w:val="24"/>
          <w:szCs w:val="24"/>
          <w:lang w:eastAsia="zh-CN"/>
        </w:rPr>
        <w:t>持续</w:t>
      </w:r>
      <w:r>
        <w:rPr>
          <w:rFonts w:hint="eastAsia" w:ascii="Times New Roman" w:hAnsi="Times New Roman" w:eastAsia="仿宋_GB2312"/>
          <w:bCs/>
          <w:sz w:val="24"/>
          <w:szCs w:val="24"/>
        </w:rPr>
        <w:t>增长。</w:t>
      </w:r>
    </w:p>
    <w:p>
      <w:pPr>
        <w:spacing w:line="360" w:lineRule="auto"/>
        <w:ind w:firstLine="480" w:firstLineChars="200"/>
        <w:rPr>
          <w:rFonts w:hint="eastAsia" w:ascii="Times New Roman" w:hAnsi="Times New Roman" w:eastAsia="仿宋_GB2312"/>
          <w:bCs/>
          <w:sz w:val="24"/>
          <w:szCs w:val="24"/>
        </w:rPr>
      </w:pPr>
      <w:r>
        <w:rPr>
          <w:rFonts w:hint="eastAsia" w:ascii="Times New Roman" w:hAnsi="Times New Roman" w:eastAsia="仿宋_GB2312"/>
          <w:bCs/>
          <w:sz w:val="24"/>
          <w:szCs w:val="24"/>
        </w:rPr>
        <w:t>开采出的石料主要</w:t>
      </w:r>
      <w:r>
        <w:rPr>
          <w:rFonts w:hint="eastAsia" w:ascii="Times New Roman" w:hAnsi="Times New Roman" w:eastAsia="仿宋_GB2312"/>
          <w:bCs/>
          <w:sz w:val="24"/>
          <w:szCs w:val="24"/>
          <w:lang w:eastAsia="zh-CN"/>
        </w:rPr>
        <w:t>由总公司进行水泥加工生产</w:t>
      </w:r>
      <w:r>
        <w:rPr>
          <w:rFonts w:hint="eastAsia" w:ascii="Times New Roman" w:hAnsi="Times New Roman" w:eastAsia="仿宋_GB2312"/>
          <w:bCs/>
          <w:sz w:val="24"/>
          <w:szCs w:val="24"/>
        </w:rPr>
        <w:t>。</w:t>
      </w:r>
    </w:p>
    <w:p>
      <w:pPr>
        <w:spacing w:line="360" w:lineRule="auto"/>
        <w:ind w:firstLine="480" w:firstLineChars="200"/>
        <w:rPr>
          <w:rFonts w:hint="eastAsia" w:ascii="Times New Roman" w:hAnsi="Times New Roman" w:eastAsia="仿宋_GB2312"/>
          <w:bCs/>
          <w:sz w:val="24"/>
          <w:szCs w:val="24"/>
        </w:rPr>
      </w:pPr>
      <w:r>
        <w:rPr>
          <w:rFonts w:hint="eastAsia" w:ascii="Times New Roman" w:hAnsi="Times New Roman" w:eastAsia="仿宋_GB2312"/>
          <w:bCs/>
          <w:sz w:val="24"/>
          <w:szCs w:val="24"/>
        </w:rPr>
        <w:t>本区石灰岩作为石料开采有着良好经济效益及广阔的发展前景。因此，该项目的建设符合当地的产业和经济发展规划，本项目的建设是十分必要的。</w:t>
      </w:r>
    </w:p>
    <w:p>
      <w:pPr>
        <w:spacing w:line="360" w:lineRule="auto"/>
        <w:outlineLvl w:val="3"/>
        <w:rPr>
          <w:rFonts w:ascii="Times New Roman" w:hAnsi="Times New Roman" w:eastAsia="仿宋_GB2312"/>
          <w:b/>
          <w:bCs/>
          <w:sz w:val="24"/>
          <w:szCs w:val="24"/>
        </w:rPr>
      </w:pPr>
      <w:r>
        <w:rPr>
          <w:rFonts w:ascii="Times New Roman" w:hAnsi="Times New Roman" w:eastAsia="仿宋_GB2312"/>
          <w:b/>
          <w:bCs/>
          <w:sz w:val="24"/>
          <w:szCs w:val="24"/>
        </w:rPr>
        <w:t>1.1.1.2项目基本情况</w:t>
      </w:r>
    </w:p>
    <w:p>
      <w:pPr>
        <w:autoSpaceDE w:val="0"/>
        <w:autoSpaceDN w:val="0"/>
        <w:spacing w:line="360" w:lineRule="auto"/>
        <w:ind w:firstLine="482" w:firstLineChars="200"/>
        <w:rPr>
          <w:rFonts w:ascii="Times New Roman" w:hAnsi="Times New Roman" w:eastAsia="仿宋_GB2312"/>
          <w:b/>
          <w:bCs/>
          <w:sz w:val="24"/>
          <w:lang w:val="zh-CN"/>
        </w:rPr>
      </w:pPr>
      <w:r>
        <w:rPr>
          <w:rFonts w:ascii="Times New Roman" w:hAnsi="Times New Roman" w:eastAsia="仿宋_GB2312"/>
          <w:b/>
          <w:bCs/>
          <w:sz w:val="24"/>
          <w:lang w:val="zh-CN"/>
        </w:rPr>
        <w:t>1、项目名称</w:t>
      </w:r>
    </w:p>
    <w:p>
      <w:pPr>
        <w:tabs>
          <w:tab w:val="left" w:pos="6525"/>
        </w:tabs>
        <w:autoSpaceDE w:val="0"/>
        <w:autoSpaceDN w:val="0"/>
        <w:spacing w:line="360" w:lineRule="auto"/>
        <w:ind w:firstLine="480" w:firstLineChars="200"/>
        <w:rPr>
          <w:rFonts w:hint="eastAsia" w:ascii="Times New Roman" w:hAnsi="Times New Roman" w:eastAsia="仿宋_GB2312"/>
          <w:sz w:val="24"/>
          <w:lang w:eastAsia="zh-CN"/>
        </w:rPr>
      </w:pPr>
      <w:r>
        <w:rPr>
          <w:rFonts w:hint="eastAsia" w:ascii="Times New Roman" w:hAnsi="Times New Roman" w:eastAsia="仿宋_GB2312"/>
          <w:sz w:val="24"/>
          <w:lang w:eastAsia="zh-CN"/>
        </w:rPr>
        <w:t>曲沃县自得建材有限公司年开采加工12万吨建筑石料加工技术改造项目。</w:t>
      </w:r>
    </w:p>
    <w:p>
      <w:pPr>
        <w:tabs>
          <w:tab w:val="left" w:pos="6525"/>
        </w:tabs>
        <w:autoSpaceDE w:val="0"/>
        <w:autoSpaceDN w:val="0"/>
        <w:spacing w:line="360" w:lineRule="auto"/>
        <w:ind w:firstLine="482" w:firstLineChars="200"/>
        <w:rPr>
          <w:rFonts w:ascii="Times New Roman" w:hAnsi="Times New Roman" w:eastAsia="仿宋_GB2312"/>
          <w:b/>
          <w:bCs/>
          <w:sz w:val="24"/>
          <w:lang w:val="zh-CN"/>
        </w:rPr>
      </w:pPr>
      <w:r>
        <w:rPr>
          <w:rFonts w:ascii="Times New Roman" w:hAnsi="Times New Roman" w:eastAsia="仿宋_GB2312"/>
          <w:b/>
          <w:bCs/>
          <w:sz w:val="24"/>
          <w:lang w:val="zh-CN"/>
        </w:rPr>
        <w:t>2、建设单位</w:t>
      </w:r>
    </w:p>
    <w:p>
      <w:pPr>
        <w:tabs>
          <w:tab w:val="left" w:pos="6525"/>
        </w:tabs>
        <w:autoSpaceDE w:val="0"/>
        <w:autoSpaceDN w:val="0"/>
        <w:spacing w:line="360" w:lineRule="auto"/>
        <w:ind w:firstLine="480" w:firstLineChars="200"/>
        <w:rPr>
          <w:rFonts w:hint="eastAsia" w:ascii="Times New Roman" w:hAnsi="Times New Roman" w:eastAsia="仿宋_GB2312"/>
          <w:sz w:val="24"/>
          <w:lang w:eastAsia="zh-CN"/>
        </w:rPr>
      </w:pPr>
      <w:r>
        <w:rPr>
          <w:rFonts w:hint="eastAsia" w:ascii="Times New Roman" w:hAnsi="Times New Roman" w:eastAsia="仿宋_GB2312"/>
          <w:sz w:val="24"/>
          <w:lang w:eastAsia="zh-CN"/>
        </w:rPr>
        <w:t>曲沃县自得建材有限公司。</w:t>
      </w:r>
    </w:p>
    <w:p>
      <w:pPr>
        <w:autoSpaceDE w:val="0"/>
        <w:autoSpaceDN w:val="0"/>
        <w:spacing w:line="360" w:lineRule="auto"/>
        <w:ind w:firstLine="482" w:firstLineChars="200"/>
        <w:rPr>
          <w:rFonts w:ascii="Times New Roman" w:hAnsi="Times New Roman" w:eastAsia="仿宋_GB2312"/>
          <w:b/>
          <w:bCs/>
          <w:sz w:val="24"/>
          <w:lang w:val="zh-CN"/>
        </w:rPr>
      </w:pPr>
      <w:r>
        <w:rPr>
          <w:rFonts w:ascii="Times New Roman" w:hAnsi="Times New Roman" w:eastAsia="仿宋_GB2312"/>
          <w:b/>
          <w:bCs/>
          <w:sz w:val="24"/>
          <w:lang w:val="zh-CN"/>
        </w:rPr>
        <w:t>3、建设性质</w:t>
      </w:r>
    </w:p>
    <w:p>
      <w:pPr>
        <w:autoSpaceDE w:val="0"/>
        <w:autoSpaceDN w:val="0"/>
        <w:spacing w:line="360" w:lineRule="auto"/>
        <w:ind w:firstLine="480" w:firstLineChars="200"/>
        <w:rPr>
          <w:rFonts w:hint="eastAsia" w:ascii="Times New Roman" w:hAnsi="Times New Roman" w:eastAsia="仿宋_GB2312"/>
          <w:sz w:val="24"/>
          <w:lang w:eastAsia="zh-CN"/>
        </w:rPr>
      </w:pPr>
      <w:r>
        <w:rPr>
          <w:rFonts w:hint="eastAsia" w:ascii="Times New Roman" w:hAnsi="Times New Roman" w:eastAsia="仿宋_GB2312"/>
          <w:sz w:val="24"/>
          <w:lang w:eastAsia="zh-CN"/>
        </w:rPr>
        <w:t>技改生产类项目。</w:t>
      </w:r>
    </w:p>
    <w:p>
      <w:pPr>
        <w:autoSpaceDE w:val="0"/>
        <w:autoSpaceDN w:val="0"/>
        <w:spacing w:line="360" w:lineRule="auto"/>
        <w:ind w:firstLine="498" w:firstLineChars="200"/>
        <w:rPr>
          <w:rFonts w:ascii="Times New Roman" w:hAnsi="Times New Roman" w:eastAsia="仿宋_GB2312"/>
          <w:b/>
          <w:spacing w:val="4"/>
          <w:sz w:val="24"/>
        </w:rPr>
      </w:pPr>
      <w:r>
        <w:rPr>
          <w:rFonts w:ascii="Times New Roman" w:hAnsi="Times New Roman" w:eastAsia="仿宋_GB2312"/>
          <w:b/>
          <w:spacing w:val="4"/>
          <w:sz w:val="24"/>
        </w:rPr>
        <w:t>4、建设规模</w:t>
      </w:r>
    </w:p>
    <w:p>
      <w:pPr>
        <w:autoSpaceDE w:val="0"/>
        <w:autoSpaceDN w:val="0"/>
        <w:spacing w:line="360" w:lineRule="auto"/>
        <w:ind w:firstLine="480" w:firstLineChars="200"/>
        <w:rPr>
          <w:rFonts w:hint="eastAsia" w:ascii="Times New Roman" w:hAnsi="Times New Roman" w:eastAsia="仿宋_GB2312"/>
          <w:spacing w:val="4"/>
          <w:sz w:val="24"/>
          <w:lang w:eastAsia="zh-CN"/>
        </w:rPr>
      </w:pPr>
      <w:r>
        <w:rPr>
          <w:rFonts w:hint="eastAsia"/>
          <w:lang w:eastAsia="zh-CN"/>
        </w:rPr>
        <w:t>12</w:t>
      </w:r>
      <w:r>
        <w:rPr>
          <w:rFonts w:hint="eastAsia" w:ascii="Times New Roman" w:hAnsi="Times New Roman" w:eastAsia="仿宋_GB2312"/>
          <w:spacing w:val="4"/>
          <w:sz w:val="24"/>
          <w:lang w:eastAsia="zh-CN"/>
        </w:rPr>
        <w:t>万t/a。</w:t>
      </w:r>
    </w:p>
    <w:p>
      <w:pPr>
        <w:autoSpaceDE w:val="0"/>
        <w:autoSpaceDN w:val="0"/>
        <w:spacing w:line="360" w:lineRule="auto"/>
        <w:ind w:firstLine="482" w:firstLineChars="200"/>
        <w:rPr>
          <w:rFonts w:ascii="Times New Roman" w:hAnsi="Times New Roman" w:eastAsia="仿宋_GB2312"/>
          <w:b/>
          <w:sz w:val="24"/>
        </w:rPr>
      </w:pPr>
      <w:r>
        <w:rPr>
          <w:rFonts w:ascii="Times New Roman" w:hAnsi="Times New Roman" w:eastAsia="仿宋_GB2312"/>
          <w:b/>
          <w:sz w:val="24"/>
        </w:rPr>
        <w:t>5、建设地点</w:t>
      </w:r>
    </w:p>
    <w:p>
      <w:pPr>
        <w:autoSpaceDE w:val="0"/>
        <w:autoSpaceDN w:val="0"/>
        <w:spacing w:line="360" w:lineRule="auto"/>
        <w:ind w:firstLine="480" w:firstLineChars="200"/>
        <w:rPr>
          <w:rFonts w:hint="eastAsia"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曲沃县北董乡。</w:t>
      </w:r>
    </w:p>
    <w:p>
      <w:pPr>
        <w:autoSpaceDE w:val="0"/>
        <w:autoSpaceDN w:val="0"/>
        <w:spacing w:line="360" w:lineRule="auto"/>
        <w:ind w:firstLine="482" w:firstLineChars="200"/>
        <w:rPr>
          <w:rFonts w:ascii="Times New Roman" w:hAnsi="Times New Roman" w:eastAsia="仿宋_GB2312"/>
          <w:b/>
          <w:bCs/>
          <w:sz w:val="24"/>
        </w:rPr>
      </w:pPr>
      <w:r>
        <w:rPr>
          <w:rFonts w:ascii="Times New Roman" w:hAnsi="Times New Roman" w:eastAsia="仿宋_GB2312"/>
          <w:b/>
          <w:bCs/>
          <w:sz w:val="24"/>
        </w:rPr>
        <w:t>6、基本情况</w:t>
      </w:r>
    </w:p>
    <w:p>
      <w:pPr>
        <w:autoSpaceDE w:val="0"/>
        <w:autoSpaceDN w:val="0"/>
        <w:spacing w:line="360" w:lineRule="auto"/>
        <w:ind w:firstLine="480" w:firstLineChars="200"/>
        <w:rPr>
          <w:rFonts w:hint="eastAsia" w:ascii="Times New Roman" w:hAnsi="Times New Roman" w:eastAsia="仿宋_GB2312"/>
          <w:sz w:val="24"/>
          <w:lang w:eastAsia="zh-CN"/>
        </w:rPr>
      </w:pPr>
      <w:r>
        <w:rPr>
          <w:rFonts w:hint="eastAsia" w:ascii="Times New Roman" w:hAnsi="Times New Roman" w:eastAsia="仿宋_GB2312"/>
          <w:sz w:val="24"/>
          <w:lang w:eastAsia="zh-CN"/>
        </w:rPr>
        <w:t>曲沃县自得建材有限公司年开采加工12万吨建筑石料加工技术改造项目位于曲沃县城175°方向直距约5.5km的裴南庄村，行政区划隶属曲沃县北董乡管辖。其地理坐标为北纬35°34′43″—35°34′55″，东111°29′07″—111°29′13″。</w:t>
      </w:r>
    </w:p>
    <w:p>
      <w:pPr>
        <w:autoSpaceDE w:val="0"/>
        <w:autoSpaceDN w:val="0"/>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矿区有农村道路经过，沿农村道路向北经裴南庄村、安鹄村等至曲沃县城约7km。曲沃县城还有晋侯高速、南同蒲铁路和大西高铁过境，交通便利。</w:t>
      </w:r>
    </w:p>
    <w:p>
      <w:pPr>
        <w:spacing w:line="360" w:lineRule="auto"/>
        <w:ind w:firstLine="482" w:firstLineChars="200"/>
        <w:rPr>
          <w:rFonts w:ascii="Times New Roman" w:hAnsi="Times New Roman" w:eastAsia="仿宋_GB2312"/>
          <w:b/>
          <w:bCs/>
          <w:sz w:val="24"/>
          <w:szCs w:val="24"/>
        </w:rPr>
      </w:pPr>
      <w:r>
        <w:rPr>
          <w:rFonts w:hint="eastAsia" w:ascii="Times New Roman" w:hAnsi="Times New Roman" w:eastAsia="仿宋_GB2312"/>
          <w:b/>
          <w:bCs/>
          <w:sz w:val="24"/>
          <w:szCs w:val="24"/>
          <w:lang w:val="en-US" w:eastAsia="zh-CN"/>
        </w:rPr>
        <w:t>7</w:t>
      </w:r>
      <w:r>
        <w:rPr>
          <w:rFonts w:ascii="Times New Roman" w:hAnsi="Times New Roman" w:eastAsia="仿宋_GB2312"/>
          <w:b/>
          <w:bCs/>
          <w:sz w:val="24"/>
          <w:szCs w:val="24"/>
        </w:rPr>
        <w:t>、项目组成</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项目组成包括：采场防治区、加工场地防治区（新建）、场地道路防治区（新建）、输电线路防治区（利用原有）等。</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采场防治区：根据开发利用方案，预测至开采终了，设计采场面积达到2.32hm</w:t>
      </w:r>
      <w:r>
        <w:rPr>
          <w:rFonts w:hint="eastAsia" w:ascii="Times New Roman" w:hAnsi="Times New Roman" w:eastAsia="仿宋_GB2312"/>
          <w:sz w:val="24"/>
          <w:szCs w:val="24"/>
          <w:vertAlign w:val="superscript"/>
        </w:rPr>
        <w:t>2</w:t>
      </w:r>
      <w:r>
        <w:rPr>
          <w:rFonts w:hint="eastAsia" w:ascii="Times New Roman" w:hAnsi="Times New Roman" w:eastAsia="仿宋_GB2312"/>
          <w:sz w:val="24"/>
          <w:szCs w:val="24"/>
        </w:rPr>
        <w:t>，主体设计未考虑采场的截、排水和绿化设计，方案新增采场的周边截水沟、马道排水沟和开采平台的覆土绿化措施。</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加工场地防治区：设计在矿区外西区北西侧约310m处新建建设加工场地，占地面积约0.36hm</w:t>
      </w:r>
      <w:r>
        <w:rPr>
          <w:rFonts w:hint="eastAsia" w:ascii="Times New Roman" w:hAnsi="Times New Roman" w:eastAsia="仿宋_GB2312"/>
          <w:sz w:val="24"/>
          <w:szCs w:val="24"/>
          <w:vertAlign w:val="superscript"/>
        </w:rPr>
        <w:t>2</w:t>
      </w:r>
      <w:r>
        <w:rPr>
          <w:rFonts w:hint="eastAsia" w:ascii="Times New Roman" w:hAnsi="Times New Roman" w:eastAsia="仿宋_GB2312"/>
          <w:sz w:val="24"/>
          <w:szCs w:val="24"/>
        </w:rPr>
        <w:t>，场地安装石料破碎筛分设备，建设维修车间、配电室等，用于石料加工。方案新增加工场地排水沟设计。</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场地道路：新建连接采场和加工场地的场地道路，场地道路长2050m，宽4m，占地0.82hm</w:t>
      </w:r>
      <w:r>
        <w:rPr>
          <w:rFonts w:hint="eastAsia" w:ascii="Times New Roman" w:hAnsi="Times New Roman" w:eastAsia="仿宋_GB2312"/>
          <w:sz w:val="24"/>
          <w:szCs w:val="24"/>
          <w:vertAlign w:val="superscript"/>
        </w:rPr>
        <w:t>2</w:t>
      </w:r>
      <w:r>
        <w:rPr>
          <w:rFonts w:hint="eastAsia" w:ascii="Times New Roman" w:hAnsi="Times New Roman" w:eastAsia="仿宋_GB2312"/>
          <w:sz w:val="24"/>
          <w:szCs w:val="24"/>
        </w:rPr>
        <w:t>，道路两侧自然植被良好，方案新增道路一侧排水沟设计。</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输电线路：矿场用电从裴南庄村变压器引接10KV线路到矿区变压器，送电距离约1500m，线路架设完成多年，架设时扰动的地面均已恢复植被，占地0.01hm</w:t>
      </w:r>
      <w:r>
        <w:rPr>
          <w:rFonts w:hint="eastAsia" w:ascii="Times New Roman" w:hAnsi="Times New Roman" w:eastAsia="仿宋_GB2312"/>
          <w:sz w:val="24"/>
          <w:szCs w:val="24"/>
          <w:vertAlign w:val="superscript"/>
        </w:rPr>
        <w:t>2</w:t>
      </w:r>
      <w:r>
        <w:rPr>
          <w:rFonts w:hint="eastAsia" w:ascii="Times New Roman" w:hAnsi="Times New Roman" w:eastAsia="仿宋_GB2312"/>
          <w:sz w:val="24"/>
          <w:szCs w:val="24"/>
        </w:rPr>
        <w:t>。</w:t>
      </w:r>
    </w:p>
    <w:p>
      <w:pPr>
        <w:spacing w:line="360" w:lineRule="auto"/>
        <w:ind w:firstLine="482" w:firstLineChars="200"/>
        <w:rPr>
          <w:rFonts w:ascii="Times New Roman" w:hAnsi="Times New Roman" w:eastAsia="仿宋_GB2312"/>
          <w:b/>
          <w:bCs/>
          <w:sz w:val="24"/>
          <w:szCs w:val="24"/>
        </w:rPr>
      </w:pPr>
      <w:r>
        <w:rPr>
          <w:rFonts w:hint="eastAsia" w:ascii="Times New Roman" w:hAnsi="Times New Roman" w:eastAsia="仿宋_GB2312"/>
          <w:b/>
          <w:sz w:val="24"/>
          <w:szCs w:val="24"/>
          <w:lang w:val="en-US" w:eastAsia="zh-CN"/>
        </w:rPr>
        <w:t>8</w:t>
      </w:r>
      <w:r>
        <w:rPr>
          <w:rFonts w:ascii="Times New Roman" w:hAnsi="Times New Roman" w:eastAsia="仿宋_GB2312"/>
          <w:b/>
          <w:sz w:val="24"/>
          <w:szCs w:val="24"/>
        </w:rPr>
        <w:t>、</w:t>
      </w:r>
      <w:r>
        <w:rPr>
          <w:rFonts w:ascii="Times New Roman" w:hAnsi="Times New Roman" w:eastAsia="仿宋_GB2312"/>
          <w:b/>
          <w:bCs/>
          <w:sz w:val="24"/>
          <w:szCs w:val="24"/>
        </w:rPr>
        <w:t>工程占地</w:t>
      </w:r>
    </w:p>
    <w:p>
      <w:pPr>
        <w:spacing w:line="360" w:lineRule="auto"/>
        <w:ind w:firstLine="480" w:firstLineChars="200"/>
        <w:rPr>
          <w:rFonts w:hint="default" w:ascii="Times New Roman" w:hAnsi="Times New Roman" w:eastAsia="仿宋_GB2312"/>
          <w:sz w:val="24"/>
          <w:szCs w:val="24"/>
          <w:lang w:val="en-US" w:eastAsia="zh-CN"/>
        </w:rPr>
      </w:pPr>
      <w:r>
        <w:rPr>
          <w:rFonts w:hint="eastAsia" w:ascii="Times New Roman" w:hAnsi="Times New Roman" w:eastAsia="仿宋_GB2312"/>
          <w:sz w:val="24"/>
          <w:szCs w:val="24"/>
        </w:rPr>
        <w:t>工程总征占地面积3.51hm</w:t>
      </w:r>
      <w:r>
        <w:rPr>
          <w:rFonts w:hint="eastAsia" w:ascii="Times New Roman" w:hAnsi="Times New Roman" w:eastAsia="仿宋_GB2312"/>
          <w:sz w:val="24"/>
          <w:szCs w:val="24"/>
          <w:vertAlign w:val="superscript"/>
        </w:rPr>
        <w:t>2</w:t>
      </w:r>
      <w:r>
        <w:rPr>
          <w:rFonts w:hint="eastAsia" w:ascii="Times New Roman" w:hAnsi="Times New Roman" w:eastAsia="仿宋_GB2312"/>
          <w:sz w:val="24"/>
          <w:szCs w:val="24"/>
        </w:rPr>
        <w:t>，全为永久占地；占地类型为：工矿用地</w:t>
      </w:r>
      <w:r>
        <w:rPr>
          <w:rFonts w:hint="eastAsia" w:eastAsia="仿宋_GB2312"/>
          <w:sz w:val="24"/>
          <w:szCs w:val="24"/>
          <w:lang w:val="en-US" w:eastAsia="zh-CN"/>
        </w:rPr>
        <w:t>2.68</w:t>
      </w:r>
      <w:r>
        <w:rPr>
          <w:rFonts w:hint="eastAsia" w:ascii="Times New Roman" w:hAnsi="Times New Roman" w:eastAsia="仿宋_GB2312"/>
          <w:sz w:val="24"/>
          <w:szCs w:val="24"/>
        </w:rPr>
        <w:t>hm²，交通运输用地0</w:t>
      </w:r>
      <w:r>
        <w:rPr>
          <w:rFonts w:hint="eastAsia" w:ascii="Times New Roman" w:hAnsi="Times New Roman" w:eastAsia="仿宋_GB2312"/>
          <w:sz w:val="24"/>
          <w:szCs w:val="24"/>
          <w:lang w:val="en-US" w:eastAsia="zh-CN"/>
        </w:rPr>
        <w:t>.</w:t>
      </w:r>
      <w:r>
        <w:rPr>
          <w:rFonts w:hint="eastAsia" w:eastAsia="仿宋_GB2312"/>
          <w:sz w:val="24"/>
          <w:szCs w:val="24"/>
          <w:lang w:val="en-US" w:eastAsia="zh-CN"/>
        </w:rPr>
        <w:t>52</w:t>
      </w:r>
      <w:r>
        <w:rPr>
          <w:rFonts w:hint="eastAsia" w:ascii="Times New Roman" w:hAnsi="Times New Roman" w:eastAsia="仿宋_GB2312"/>
          <w:sz w:val="24"/>
          <w:szCs w:val="24"/>
        </w:rPr>
        <w:t>hm²</w:t>
      </w:r>
      <w:r>
        <w:rPr>
          <w:rFonts w:hint="eastAsia" w:eastAsia="仿宋_GB2312"/>
          <w:sz w:val="24"/>
          <w:szCs w:val="24"/>
          <w:lang w:eastAsia="zh-CN"/>
        </w:rPr>
        <w:t>，其他草地</w:t>
      </w:r>
      <w:r>
        <w:rPr>
          <w:rFonts w:hint="eastAsia" w:eastAsia="仿宋_GB2312"/>
          <w:sz w:val="24"/>
          <w:szCs w:val="24"/>
          <w:lang w:val="en-US" w:eastAsia="zh-CN"/>
        </w:rPr>
        <w:t>0.01hm</w:t>
      </w:r>
      <w:r>
        <w:rPr>
          <w:rFonts w:hint="eastAsia" w:ascii="Times New Roman" w:hAnsi="Times New Roman" w:eastAsia="仿宋_GB2312"/>
          <w:sz w:val="24"/>
          <w:szCs w:val="24"/>
        </w:rPr>
        <w:t>²</w:t>
      </w:r>
      <w:r>
        <w:rPr>
          <w:rFonts w:hint="eastAsia" w:eastAsia="仿宋_GB2312"/>
          <w:sz w:val="24"/>
          <w:szCs w:val="24"/>
          <w:lang w:eastAsia="zh-CN"/>
        </w:rPr>
        <w:t>。</w:t>
      </w:r>
    </w:p>
    <w:p>
      <w:pPr>
        <w:spacing w:line="360" w:lineRule="auto"/>
        <w:ind w:firstLine="482" w:firstLineChars="200"/>
        <w:rPr>
          <w:rFonts w:ascii="Times New Roman" w:hAnsi="Times New Roman" w:eastAsia="仿宋_GB2312"/>
          <w:b/>
          <w:bCs/>
          <w:sz w:val="24"/>
          <w:szCs w:val="24"/>
        </w:rPr>
      </w:pPr>
      <w:r>
        <w:rPr>
          <w:rFonts w:hint="eastAsia" w:ascii="Times New Roman" w:hAnsi="Times New Roman" w:eastAsia="仿宋_GB2312"/>
          <w:b/>
          <w:bCs/>
          <w:sz w:val="24"/>
          <w:szCs w:val="24"/>
          <w:lang w:val="en-US" w:eastAsia="zh-CN"/>
        </w:rPr>
        <w:t>9</w:t>
      </w:r>
      <w:r>
        <w:rPr>
          <w:rFonts w:ascii="Times New Roman" w:hAnsi="Times New Roman" w:eastAsia="仿宋_GB2312"/>
          <w:b/>
          <w:bCs/>
          <w:sz w:val="24"/>
          <w:szCs w:val="24"/>
        </w:rPr>
        <w:t>、土石方量</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工程土石方开挖0.5万m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，填方0.5万m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，土石方挖填平衡，矿山生产过程中产生的废石（废石总量0.53万m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岩性主要有寒武系中统馒头组白云质灰岩、泥灰岩、薄层灰岩和白云岩等）已与曲沃县顺风建材有限公司签订废石购销合同，全部运往曲沃县顺风建材有限建材公司综合利用。曲沃县顺风建材有限公司设计年生产加工矿石10万t，建设有石料破碎筛分设备，用于石料加工，加工后生产建筑材料用于水泥制品、砖等企业作为加工原料，有能力满足项目生产过程的中废石处理问题。。</w:t>
      </w:r>
    </w:p>
    <w:p>
      <w:pPr>
        <w:spacing w:line="360" w:lineRule="auto"/>
        <w:ind w:firstLine="482" w:firstLineChars="200"/>
        <w:rPr>
          <w:rFonts w:ascii="Times New Roman" w:hAnsi="Times New Roman" w:eastAsia="仿宋_GB2312"/>
          <w:b/>
          <w:bCs/>
          <w:sz w:val="24"/>
          <w:szCs w:val="24"/>
        </w:rPr>
      </w:pPr>
      <w:r>
        <w:rPr>
          <w:rFonts w:ascii="Times New Roman" w:hAnsi="Times New Roman" w:eastAsia="仿宋_GB2312"/>
          <w:b/>
          <w:bCs/>
          <w:sz w:val="24"/>
          <w:szCs w:val="24"/>
        </w:rPr>
        <w:t>1</w:t>
      </w:r>
      <w:r>
        <w:rPr>
          <w:rFonts w:hint="eastAsia" w:ascii="Times New Roman" w:hAnsi="Times New Roman" w:eastAsia="仿宋_GB2312"/>
          <w:b/>
          <w:bCs/>
          <w:sz w:val="24"/>
          <w:szCs w:val="24"/>
          <w:lang w:val="en-US" w:eastAsia="zh-CN"/>
        </w:rPr>
        <w:t>0</w:t>
      </w:r>
      <w:r>
        <w:rPr>
          <w:rFonts w:ascii="Times New Roman" w:hAnsi="Times New Roman" w:eastAsia="仿宋_GB2312"/>
          <w:b/>
          <w:bCs/>
          <w:sz w:val="24"/>
          <w:szCs w:val="24"/>
        </w:rPr>
        <w:t>、拆迁安置</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本项目征占地范围内无拆迁安置工程。</w:t>
      </w:r>
    </w:p>
    <w:p>
      <w:pPr>
        <w:spacing w:line="360" w:lineRule="auto"/>
        <w:ind w:firstLine="482" w:firstLineChars="200"/>
        <w:rPr>
          <w:rFonts w:ascii="Times New Roman" w:hAnsi="Times New Roman" w:eastAsia="仿宋_GB2312"/>
          <w:sz w:val="24"/>
          <w:szCs w:val="24"/>
        </w:rPr>
      </w:pPr>
      <w:r>
        <w:rPr>
          <w:rFonts w:ascii="Times New Roman" w:hAnsi="Times New Roman" w:eastAsia="仿宋_GB2312"/>
          <w:b/>
          <w:bCs/>
          <w:sz w:val="24"/>
          <w:szCs w:val="24"/>
        </w:rPr>
        <w:t>1</w:t>
      </w:r>
      <w:r>
        <w:rPr>
          <w:rFonts w:hint="eastAsia" w:ascii="Times New Roman" w:hAnsi="Times New Roman" w:eastAsia="仿宋_GB2312"/>
          <w:b/>
          <w:bCs/>
          <w:sz w:val="24"/>
          <w:szCs w:val="24"/>
          <w:lang w:val="en-US" w:eastAsia="zh-CN"/>
        </w:rPr>
        <w:t>1</w:t>
      </w:r>
      <w:r>
        <w:rPr>
          <w:rFonts w:ascii="Times New Roman" w:hAnsi="Times New Roman" w:eastAsia="仿宋_GB2312"/>
          <w:b/>
          <w:bCs/>
          <w:sz w:val="24"/>
          <w:szCs w:val="24"/>
        </w:rPr>
        <w:t>、工程投资</w:t>
      </w:r>
    </w:p>
    <w:p>
      <w:pPr>
        <w:spacing w:line="360" w:lineRule="auto"/>
        <w:ind w:firstLine="480" w:firstLineChars="200"/>
        <w:rPr>
          <w:rFonts w:ascii="Times New Roman" w:hAnsi="Times New Roman" w:eastAsia="仿宋_GB2312"/>
          <w:sz w:val="24"/>
          <w:szCs w:val="24"/>
        </w:rPr>
      </w:pPr>
      <w:r>
        <w:rPr>
          <w:rFonts w:hint="eastAsia" w:ascii="Times New Roman" w:hAnsi="Times New Roman" w:eastAsia="仿宋_GB2312"/>
          <w:sz w:val="24"/>
          <w:szCs w:val="24"/>
        </w:rPr>
        <w:t>工程静态总投资218万元，其中土建投资50万元。投资来源于企业自筹。</w:t>
      </w:r>
    </w:p>
    <w:p>
      <w:pPr>
        <w:spacing w:line="360" w:lineRule="auto"/>
        <w:ind w:firstLine="482" w:firstLineChars="200"/>
        <w:rPr>
          <w:rFonts w:ascii="Times New Roman" w:hAnsi="Times New Roman" w:eastAsia="仿宋_GB2312"/>
          <w:b/>
          <w:bCs/>
          <w:sz w:val="24"/>
          <w:szCs w:val="24"/>
        </w:rPr>
      </w:pPr>
      <w:r>
        <w:rPr>
          <w:rFonts w:ascii="Times New Roman" w:hAnsi="Times New Roman" w:eastAsia="仿宋_GB2312"/>
          <w:b/>
          <w:bCs/>
          <w:sz w:val="24"/>
          <w:szCs w:val="24"/>
        </w:rPr>
        <w:t>1</w:t>
      </w:r>
      <w:r>
        <w:rPr>
          <w:rFonts w:hint="eastAsia" w:ascii="Times New Roman" w:hAnsi="Times New Roman" w:eastAsia="仿宋_GB2312"/>
          <w:b/>
          <w:bCs/>
          <w:sz w:val="24"/>
          <w:szCs w:val="24"/>
          <w:lang w:val="en-US" w:eastAsia="zh-CN"/>
        </w:rPr>
        <w:t>2</w:t>
      </w:r>
      <w:r>
        <w:rPr>
          <w:rFonts w:ascii="Times New Roman" w:hAnsi="Times New Roman" w:eastAsia="仿宋_GB2312"/>
          <w:b/>
          <w:bCs/>
          <w:sz w:val="24"/>
          <w:szCs w:val="24"/>
        </w:rPr>
        <w:t>、施工进度</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工程拟于2021年4月开工建设，2021年10月建成投产，建设工期6个月。</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1.1.2项目前期工作进展情况</w:t>
      </w:r>
    </w:p>
    <w:p>
      <w:pPr>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rPr>
        <w:t>20</w:t>
      </w:r>
      <w:r>
        <w:rPr>
          <w:rFonts w:hint="eastAsia" w:eastAsia="仿宋_GB2312"/>
          <w:sz w:val="24"/>
          <w:lang w:val="en-US" w:eastAsia="zh-CN"/>
        </w:rPr>
        <w:t>20</w:t>
      </w:r>
      <w:r>
        <w:rPr>
          <w:rFonts w:hint="eastAsia" w:ascii="Times New Roman" w:hAnsi="Times New Roman" w:eastAsia="仿宋_GB2312"/>
          <w:sz w:val="24"/>
        </w:rPr>
        <w:t>年</w:t>
      </w:r>
      <w:r>
        <w:rPr>
          <w:rFonts w:hint="eastAsia" w:ascii="Times New Roman" w:hAnsi="Times New Roman" w:eastAsia="仿宋_GB2312"/>
          <w:sz w:val="24"/>
          <w:lang w:val="en-US" w:eastAsia="zh-CN"/>
        </w:rPr>
        <w:t>1</w:t>
      </w:r>
      <w:r>
        <w:rPr>
          <w:rFonts w:hint="eastAsia" w:eastAsia="仿宋_GB2312"/>
          <w:sz w:val="24"/>
          <w:lang w:val="en-US" w:eastAsia="zh-CN"/>
        </w:rPr>
        <w:t>0</w:t>
      </w:r>
      <w:r>
        <w:rPr>
          <w:rFonts w:hint="eastAsia" w:ascii="Times New Roman" w:hAnsi="Times New Roman" w:eastAsia="仿宋_GB2312"/>
          <w:sz w:val="24"/>
        </w:rPr>
        <w:t>月</w:t>
      </w:r>
      <w:r>
        <w:rPr>
          <w:rFonts w:hint="eastAsia" w:ascii="Times New Roman" w:hAnsi="Times New Roman" w:eastAsia="仿宋_GB2312"/>
          <w:sz w:val="24"/>
          <w:lang w:eastAsia="zh-CN"/>
        </w:rPr>
        <w:t>，山西辉源矿山勘测技术服务有限公司</w:t>
      </w:r>
      <w:r>
        <w:rPr>
          <w:rFonts w:hint="eastAsia" w:ascii="Times New Roman" w:hAnsi="Times New Roman" w:eastAsia="仿宋_GB2312"/>
          <w:sz w:val="24"/>
        </w:rPr>
        <w:t>编制了《山西省曲沃县自得建材有限公司石料片麻岩石英岩矿矿产资源开发利用、地质环境保护与土地复垦方案》；</w:t>
      </w:r>
    </w:p>
    <w:p>
      <w:pPr>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rPr>
        <w:t>20</w:t>
      </w:r>
      <w:r>
        <w:rPr>
          <w:rFonts w:hint="eastAsia" w:ascii="Times New Roman" w:hAnsi="Times New Roman" w:eastAsia="仿宋_GB2312"/>
          <w:sz w:val="24"/>
          <w:lang w:val="en-US" w:eastAsia="zh-CN"/>
        </w:rPr>
        <w:t>20</w:t>
      </w:r>
      <w:r>
        <w:rPr>
          <w:rFonts w:hint="eastAsia" w:ascii="Times New Roman" w:hAnsi="Times New Roman" w:eastAsia="仿宋_GB2312"/>
          <w:sz w:val="24"/>
        </w:rPr>
        <w:t>年</w:t>
      </w:r>
      <w:r>
        <w:rPr>
          <w:rFonts w:hint="eastAsia" w:eastAsia="仿宋_GB2312"/>
          <w:sz w:val="24"/>
          <w:lang w:val="en-US" w:eastAsia="zh-CN"/>
        </w:rPr>
        <w:t>11</w:t>
      </w:r>
      <w:r>
        <w:rPr>
          <w:rFonts w:hint="eastAsia" w:ascii="Times New Roman" w:hAnsi="Times New Roman" w:eastAsia="仿宋_GB2312"/>
          <w:sz w:val="24"/>
        </w:rPr>
        <w:t>月，矿方委托我公司编制《曲沃县自得建材有限公司年开采加工12万吨建筑石料加工技术改造项目水土保持方案报告</w:t>
      </w:r>
      <w:r>
        <w:rPr>
          <w:rFonts w:hint="eastAsia" w:eastAsia="仿宋_GB2312"/>
          <w:sz w:val="24"/>
          <w:lang w:eastAsia="zh-CN"/>
        </w:rPr>
        <w:t>表</w:t>
      </w:r>
      <w:r>
        <w:rPr>
          <w:rFonts w:hint="eastAsia" w:ascii="Times New Roman" w:hAnsi="Times New Roman" w:eastAsia="仿宋_GB2312"/>
          <w:sz w:val="24"/>
        </w:rPr>
        <w:t>》（委托书见附件），接受委托后我单位立即组织成立了水保方案编制工作组，在对该矿前期建设开采资料认真分析研究和对矿场进行了详细调研和实地踏勘的基础上，编制完成本方案报告书。</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1.1.3自然概况</w:t>
      </w:r>
    </w:p>
    <w:p>
      <w:pPr>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rPr>
        <w:t>矿区位于紫金山东部北坡，属低山侵蚀——剥蚀地貌，地形坡度大，沟谷发育，西区总体地势西高东低，南高北低，最高点位于西部山梁，海拔标高702m，最低点位于南部裴南沟，海拔标高620m；相对高差约82m，地形坡度15～40°；东区总体地势西东低中间高，南高北低，最高点位于南部山梁，海拔标高776m，最低点位于北东部沟谷，海拔标高665m；相对高差约111m，地形坡度15～40°；矿区一带植被发育程度较低，覆盖率约为20%。矿区主要沟谷有裴南沟和山底沟。</w:t>
      </w:r>
    </w:p>
    <w:p>
      <w:pPr>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rPr>
        <w:t>裴南沟位于东区和西区之间，沟谷总体走向南西——北东向，沟谷总长3.0 km，汇水面积3.8km</w:t>
      </w:r>
      <w:r>
        <w:rPr>
          <w:rFonts w:hint="eastAsia" w:ascii="Times New Roman" w:hAnsi="Times New Roman" w:eastAsia="仿宋_GB2312"/>
          <w:sz w:val="24"/>
          <w:vertAlign w:val="superscript"/>
        </w:rPr>
        <w:t>2</w:t>
      </w:r>
      <w:r>
        <w:rPr>
          <w:rFonts w:hint="eastAsia" w:ascii="Times New Roman" w:hAnsi="Times New Roman" w:eastAsia="仿宋_GB2312"/>
          <w:sz w:val="24"/>
        </w:rPr>
        <w:t>，纵坡坡度73‰。两侧山坡坡度一般15～40°之间，最大切割深度约150m，沟谷横断面形态呈“V”字型，流域内主要为太古界五台期变质中酸性侵入岩分布区，第四系中更新统黄土及残坡积物零星分布，谷底基岩裸露。矿区位于该沟谷中下游地带。</w:t>
      </w:r>
    </w:p>
    <w:p>
      <w:pPr>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rPr>
        <w:t>山底沟位于矿区西侧，总体走向南南西——北北东向，总长3.5km，汇水面积约4.1km</w:t>
      </w:r>
      <w:r>
        <w:rPr>
          <w:rFonts w:hint="eastAsia" w:ascii="Times New Roman" w:hAnsi="Times New Roman" w:eastAsia="仿宋_GB2312"/>
          <w:sz w:val="24"/>
          <w:vertAlign w:val="superscript"/>
        </w:rPr>
        <w:t>2</w:t>
      </w:r>
      <w:r>
        <w:rPr>
          <w:rFonts w:hint="eastAsia" w:ascii="Times New Roman" w:hAnsi="Times New Roman" w:eastAsia="仿宋_GB2312"/>
          <w:sz w:val="24"/>
        </w:rPr>
        <w:t>，纵坡坡度103‰。两侧山坡坡度一般15～40°之间，最大切割深度约150m，沟谷横断面形态呈“V”字型，流域内主要为太古界五台期变质中酸性侵入岩分布区，第四系中更新统黄土及残坡积物零星分布，谷底基岩裸露。</w:t>
      </w:r>
    </w:p>
    <w:p>
      <w:pPr>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rPr>
        <w:t>项目建设区不占用地质灾害区域，此外，项目区内未发现有活动性断裂通过，处在区域相对稳定地区，工程地质条件良好，场址范围内及其附近无岩溶土洞及泥石流等不良地质。</w:t>
      </w:r>
    </w:p>
    <w:p>
      <w:pPr>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rPr>
        <w:t>矿区地表水系属黄河流域汾河支流浍河水系，地形切割较强烈，沟谷较发育，没有地表水体。强降水时，暂时性地表洪流汇聚于裴南沟、山底沟等沟谷，向北径流，在矿区北约3km的安鹄村北汇入浍河。</w:t>
      </w:r>
      <w:r>
        <w:rPr>
          <w:rFonts w:hint="eastAsia" w:ascii="Times New Roman" w:hAnsi="Times New Roman" w:eastAsia="仿宋_GB2312"/>
          <w:sz w:val="24"/>
          <w:lang w:eastAsia="zh-CN"/>
        </w:rPr>
        <w:t>项目区</w:t>
      </w:r>
      <w:r>
        <w:rPr>
          <w:rFonts w:hint="eastAsia" w:ascii="Times New Roman" w:hAnsi="Times New Roman" w:eastAsia="仿宋_GB2312"/>
          <w:sz w:val="24"/>
        </w:rPr>
        <w:t>内每年雨</w:t>
      </w:r>
      <w:r>
        <w:rPr>
          <w:rFonts w:hint="eastAsia" w:ascii="Times New Roman" w:hAnsi="Times New Roman" w:eastAsia="仿宋_GB2312"/>
          <w:sz w:val="24"/>
          <w:lang w:eastAsia="zh-CN"/>
        </w:rPr>
        <w:t>季</w:t>
      </w:r>
      <w:r>
        <w:rPr>
          <w:rFonts w:hint="eastAsia" w:ascii="Times New Roman" w:hAnsi="Times New Roman" w:eastAsia="仿宋_GB2312"/>
          <w:sz w:val="24"/>
        </w:rPr>
        <w:t>时</w:t>
      </w:r>
      <w:r>
        <w:rPr>
          <w:rFonts w:hint="eastAsia" w:ascii="Times New Roman" w:hAnsi="Times New Roman" w:eastAsia="仿宋_GB2312"/>
          <w:sz w:val="24"/>
          <w:lang w:eastAsia="zh-CN"/>
        </w:rPr>
        <w:t>汇流面积不大</w:t>
      </w:r>
      <w:r>
        <w:rPr>
          <w:rFonts w:hint="eastAsia" w:ascii="Times New Roman" w:hAnsi="Times New Roman" w:eastAsia="仿宋_GB2312"/>
          <w:sz w:val="24"/>
        </w:rPr>
        <w:t>，枯水季节多干涸</w:t>
      </w:r>
    </w:p>
    <w:p>
      <w:pPr>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rPr>
        <w:t>曲沃县处于中纬度地区，属暖温带半干旱大陆性季风气候，四季分明，春冬季寒冷多风，夏秋季湿润多雨。据曲沃县气象局1996年～2018年的气象资料，最低气温达-24℃，最高气温达38℃，年平均气温8.6℃。年平均最小降水量380.6mm，年平均最大降水量611.4mm，年平均降水量608mm。历年日最大降水量122.1mm（1998年7月16日），历年一小时最大降水量45.3mm（1995年7月22日21时至22时），10分钟最大降水量19.9mm（1995年7月22日3时15分至25分）。年平均最小蒸发量1519.6mm，年平均最大蒸发量1927.1mm，年平均蒸发量1723.7mm，蒸发量为降水量三倍多。结冰期为10月下旬至次年3月。无霜期180天，最大冻土深度53cm。</w:t>
      </w:r>
    </w:p>
    <w:p>
      <w:pPr>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rPr>
        <w:t>矿区土壤类型以褐土为主。成土母质主要有残坡积物、洪积物、堆垫及沟淤沉积物及黄土状物。表层质地以壤质为主，土壤有机质含量低。</w:t>
      </w:r>
    </w:p>
    <w:p>
      <w:pPr>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rPr>
        <w:t>矿区属北暖温带落叶针叶——阔叶林带，植被覆盖度较低，约为20%，草本植物为主，有苜蓿、无芒雀麦和蒿类等。其次为灌丛，主要有荆条、黄刺玫、酸枣等。</w:t>
      </w:r>
    </w:p>
    <w:p>
      <w:pPr>
        <w:spacing w:line="360" w:lineRule="auto"/>
        <w:ind w:firstLine="480" w:firstLineChars="200"/>
        <w:rPr>
          <w:bCs w:val="0"/>
        </w:rPr>
      </w:pPr>
      <w:r>
        <w:rPr>
          <w:rFonts w:hint="eastAsia" w:eastAsia="仿宋_GB2312"/>
          <w:sz w:val="24"/>
          <w:lang w:eastAsia="zh-CN"/>
        </w:rPr>
        <w:t>根据《</w:t>
      </w:r>
      <w:r>
        <w:rPr>
          <w:rFonts w:hint="eastAsia" w:ascii="Times New Roman" w:hAnsi="Times New Roman" w:eastAsia="仿宋_GB2312"/>
          <w:sz w:val="24"/>
        </w:rPr>
        <w:t>山西省人民政府关于划分水土流失重点防治区的通告</w:t>
      </w:r>
      <w:r>
        <w:rPr>
          <w:rFonts w:hint="eastAsia" w:eastAsia="仿宋_GB2312"/>
          <w:sz w:val="24"/>
          <w:lang w:eastAsia="zh-CN"/>
        </w:rPr>
        <w:t>》，</w:t>
      </w:r>
      <w:r>
        <w:rPr>
          <w:rFonts w:hint="eastAsia" w:ascii="Times New Roman" w:hAnsi="Times New Roman" w:eastAsia="仿宋_GB2312"/>
          <w:sz w:val="24"/>
        </w:rPr>
        <w:t>项目区属于省级水土流失</w:t>
      </w:r>
      <w:r>
        <w:rPr>
          <w:rFonts w:hint="eastAsia" w:ascii="Times New Roman" w:hAnsi="Times New Roman" w:eastAsia="仿宋_GB2312"/>
          <w:sz w:val="24"/>
          <w:lang w:eastAsia="zh-CN"/>
        </w:rPr>
        <w:t>重点</w:t>
      </w:r>
      <w:r>
        <w:rPr>
          <w:rFonts w:hint="eastAsia" w:ascii="Times New Roman" w:hAnsi="Times New Roman" w:eastAsia="仿宋_GB2312"/>
          <w:sz w:val="24"/>
        </w:rPr>
        <w:t>预防保护区项目区</w:t>
      </w:r>
      <w:r>
        <w:rPr>
          <w:rFonts w:hint="eastAsia" w:eastAsia="仿宋_GB2312"/>
          <w:sz w:val="24"/>
          <w:lang w:eastAsia="zh-CN"/>
        </w:rPr>
        <w:t>，</w:t>
      </w:r>
      <w:r>
        <w:rPr>
          <w:rFonts w:ascii="Times New Roman" w:hAnsi="Times New Roman" w:eastAsia="仿宋_GB2312"/>
          <w:sz w:val="24"/>
          <w:szCs w:val="24"/>
        </w:rPr>
        <w:t>根据《生产建设项目水土流失防治标准》（GB/T50434-2018），</w:t>
      </w:r>
      <w:r>
        <w:rPr>
          <w:rFonts w:hint="eastAsia" w:ascii="Times New Roman" w:hAnsi="Times New Roman" w:eastAsia="仿宋_GB2312"/>
          <w:sz w:val="24"/>
        </w:rPr>
        <w:t>属于</w:t>
      </w:r>
      <w:r>
        <w:rPr>
          <w:rFonts w:hint="eastAsia" w:eastAsia="仿宋_GB2312"/>
          <w:sz w:val="24"/>
          <w:lang w:eastAsia="zh-CN"/>
        </w:rPr>
        <w:t>西北黄土高原区</w:t>
      </w:r>
      <w:r>
        <w:rPr>
          <w:rFonts w:hint="eastAsia" w:ascii="Times New Roman" w:hAnsi="Times New Roman" w:eastAsia="仿宋_GB2312"/>
          <w:sz w:val="24"/>
        </w:rPr>
        <w:t>，属水力侵蚀区，土壤容许流失量为1000t/（km</w:t>
      </w:r>
      <w:r>
        <w:rPr>
          <w:rFonts w:hint="eastAsia" w:ascii="Times New Roman" w:hAnsi="Times New Roman" w:eastAsia="仿宋_GB2312"/>
          <w:sz w:val="24"/>
          <w:vertAlign w:val="superscript"/>
        </w:rPr>
        <w:t>2</w:t>
      </w:r>
      <w:r>
        <w:rPr>
          <w:rFonts w:hint="eastAsia" w:ascii="Times New Roman" w:hAnsi="Times New Roman" w:eastAsia="仿宋_GB2312"/>
          <w:sz w:val="24"/>
        </w:rPr>
        <w:t>.a）。</w:t>
      </w:r>
    </w:p>
    <w:p>
      <w:pPr>
        <w:pStyle w:val="4"/>
        <w:spacing w:before="120" w:after="120" w:line="360" w:lineRule="auto"/>
        <w:ind w:firstLine="0"/>
        <w:rPr>
          <w:rFonts w:ascii="Times New Roman" w:hAnsi="Times New Roman" w:eastAsia="仿宋_GB2312" w:cs="Times New Roman"/>
          <w:b/>
          <w:bCs/>
          <w:sz w:val="32"/>
          <w:szCs w:val="32"/>
        </w:rPr>
      </w:pPr>
      <w:bookmarkStart w:id="31" w:name="_Toc12982"/>
      <w:bookmarkStart w:id="32" w:name="_Toc19849"/>
      <w:r>
        <w:rPr>
          <w:rFonts w:ascii="Times New Roman" w:hAnsi="Times New Roman" w:eastAsia="仿宋_GB2312" w:cs="Times New Roman"/>
          <w:b/>
          <w:bCs/>
          <w:sz w:val="32"/>
          <w:szCs w:val="32"/>
        </w:rPr>
        <w:t>1.2编制依据</w:t>
      </w:r>
      <w:bookmarkEnd w:id="31"/>
      <w:bookmarkEnd w:id="32"/>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1.2.1法律法规</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（1）《中华人民共和国水土保持法》（（中华人民共和国主席令第39号，2010年12月25日修订通过，自2011年3月1日起施行）；</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（2）《中华人民共和国环境影响评价法》（2016年7月2日第十二届全国人民代表大会常务委员会第二十一次会议重新修订）；</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（3）</w:t>
      </w:r>
      <w:r>
        <w:rPr>
          <w:rFonts w:hint="eastAsia" w:ascii="Times New Roman" w:hAnsi="Times New Roman" w:eastAsia="仿宋_GB2312"/>
          <w:sz w:val="24"/>
        </w:rPr>
        <w:t>《建设项目环境保护管理条例》（1998年11月29日，国务院253号令）</w:t>
      </w:r>
      <w:r>
        <w:rPr>
          <w:rFonts w:ascii="Times New Roman" w:hAnsi="Times New Roman" w:eastAsia="仿宋_GB2312"/>
          <w:sz w:val="24"/>
        </w:rPr>
        <w:t>；</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（4）山西省实施《中华人民共和国水土保持法》办法（山西省人民代表大会常务委员会公告第22号，2015年7月30日修订，2015年10月1日起施行）。</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1.2.2部委规章</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（1）《开发建设项目水土保持方案编报审批管理规定》（1995年5月30日水利部令第5号发布，2005年7月8日水利部令第24号第一次修改，2017年12月 22日水利部令第49号令第二次修改）；</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（2）《水利部关于修改部分水利行政许可规章的决定》（水利部令第24号，2005年7月8日施行）；</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（3）《水利部关于废止和修改部分规章的决定》（中华人民共和国水利部令第49号，2017年12 月22日实施）；</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（4）《水利工程建设监理规定》（2006年12月18日水利部令第28号发布，2017年12月22日水利部令第49号修改）。</w:t>
      </w:r>
    </w:p>
    <w:p>
      <w:pPr>
        <w:spacing w:line="360" w:lineRule="auto"/>
        <w:ind w:firstLine="480" w:firstLineChars="200"/>
        <w:rPr>
          <w:rFonts w:ascii="Times New Roman" w:hAnsi="Times New Roman" w:eastAsia="仿宋_GB2312"/>
          <w:sz w:val="24"/>
          <w:szCs w:val="24"/>
        </w:rPr>
      </w:pPr>
      <w:r>
        <w:rPr>
          <w:rFonts w:hint="eastAsia" w:ascii="Times New Roman" w:hAnsi="Times New Roman" w:eastAsia="仿宋_GB2312"/>
          <w:sz w:val="24"/>
          <w:szCs w:val="24"/>
        </w:rPr>
        <w:t>（5）《水土保持生态环境监测网络管理办法》（水利部2000年第12号令，2014年水利部第46号令修订）。</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1.2.3规范性文件</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（1）《关于加快推进生态文明建设的意见》，中共中央、国务院办公厅，2015年3月24日；</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（2）《水利部办公厅关于印发生产建设项目水土保持技术文件编写和印刷格式规定（试行）的通知》（办水保﹝2018﹞135号），水利部办公厅，2018年7月12日；</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（3）《关于颁发〈水土保持工程概（估）算编制规定和定额〉的通知》（水总﹝2003﹞67号），水利部，2003年1月25日；</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（4）《关于加强大中型开发建设项目水土保持监理工作的通知》（水保﹝2003﹞89号），水利部，2003年3月5日；</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（5）《关于印发〈全国水土保持预防监督纲要〉的通知》（水保﹝2004﹞332号），水利部，2004年8月18日；</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（6）《关于印发规范水土保持方案技术评审工作程序的意见》（水利部﹝2005﹞121号），水利部，2005年6月22日；</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（7）《关于规范生产建设项目水土保持监测工作的意见》（水保﹝2009﹞187号），水利部，2009年3月25日；</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（8）《全国水土保持区划（试行）》（办水保﹝2012﹞512号），水利部，2012年11月15日；</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（9）《全国水土保持规划国家级水土流失重点预防区和</w:t>
      </w:r>
      <w:r>
        <w:rPr>
          <w:rFonts w:hint="eastAsia" w:ascii="Times New Roman" w:hAnsi="Times New Roman" w:eastAsia="仿宋_GB2312"/>
          <w:sz w:val="24"/>
          <w:szCs w:val="24"/>
          <w:lang w:eastAsia="zh-CN"/>
        </w:rPr>
        <w:t>重点预防保护区</w:t>
      </w:r>
      <w:r>
        <w:rPr>
          <w:rFonts w:hint="eastAsia" w:ascii="Times New Roman" w:hAnsi="Times New Roman" w:eastAsia="仿宋_GB2312"/>
          <w:sz w:val="24"/>
          <w:szCs w:val="24"/>
        </w:rPr>
        <w:t>复核划分成果》（办水保﹝2013﹞188号），水利部，2013年8月12日；</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（10）《关于印发&lt;生产建设项目水土保持方案技术审查要点&gt;的通知》（水保监﹝2014﹞58号），水利部，2014年9月10日；</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（11）《水利部办公厅关于印发&lt;生产建设项目水土保持监测规程（试行）&gt;的通知》，水利部，2015年6月23日；</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（12）《水利部办公厅关于印发&lt;水利部生产建设项目水土保持方案变更管理规定（试行）&gt;的通知》（办水保〔2016〕65号），水利部，2016年3月24日；</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（13）《水利部办公厅关于进一步加强生产建设项目水土保持方案技术评审工作的通知》（办水保〔2016〕123号），水利部，2016年6月28日；</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rPr>
        <w:t>（14）《山西省发展和改革委员会 山西省财政厅 山西省水利厅关于水土保持补偿费收费标准的通知》（晋发改收费﹝2018）464号），山西省发展和改革委员会 山西省财政厅 山西省水利厅，2018年7月10日</w:t>
      </w:r>
      <w:r>
        <w:rPr>
          <w:rFonts w:hint="eastAsia" w:ascii="Times New Roman" w:hAnsi="Times New Roman" w:eastAsia="仿宋_GB2312"/>
          <w:sz w:val="24"/>
          <w:szCs w:val="24"/>
          <w:lang w:eastAsia="zh-CN"/>
        </w:rPr>
        <w:t>；</w:t>
      </w:r>
    </w:p>
    <w:p>
      <w:pPr>
        <w:spacing w:line="360" w:lineRule="auto"/>
        <w:ind w:firstLine="480" w:firstLineChars="200"/>
        <w:rPr>
          <w:rFonts w:hint="eastAsia" w:ascii="Times New Roman" w:hAnsi="Times New Roman" w:eastAsia="仿宋_GB2312"/>
          <w:sz w:val="24"/>
          <w:szCs w:val="24"/>
          <w:lang w:eastAsia="zh-CN"/>
        </w:rPr>
      </w:pPr>
      <w:r>
        <w:rPr>
          <w:rFonts w:ascii="Times New Roman" w:hAnsi="Times New Roman" w:eastAsia="仿宋_GB2312"/>
          <w:sz w:val="24"/>
          <w:szCs w:val="24"/>
        </w:rPr>
        <w:t>（</w:t>
      </w:r>
      <w:r>
        <w:rPr>
          <w:rFonts w:hint="eastAsia" w:ascii="Times New Roman" w:hAnsi="Times New Roman" w:eastAsia="仿宋_GB2312"/>
          <w:sz w:val="24"/>
          <w:szCs w:val="24"/>
          <w:lang w:val="en-US" w:eastAsia="zh-CN"/>
        </w:rPr>
        <w:t>15</w:t>
      </w:r>
      <w:r>
        <w:rPr>
          <w:rFonts w:ascii="Times New Roman" w:hAnsi="Times New Roman" w:eastAsia="仿宋_GB2312"/>
          <w:sz w:val="24"/>
          <w:szCs w:val="24"/>
        </w:rPr>
        <w:t>）水利部办公厅《关于印发生产建设项目水土保持技术文件编写和印制格式规定（试行）的通知》（办水保[2018]135号）</w:t>
      </w:r>
      <w:r>
        <w:rPr>
          <w:rFonts w:hint="eastAsia" w:ascii="Times New Roman" w:hAnsi="Times New Roman" w:eastAsia="仿宋_GB2312"/>
          <w:sz w:val="24"/>
          <w:szCs w:val="24"/>
          <w:lang w:eastAsia="zh-CN"/>
        </w:rPr>
        <w:t>。</w:t>
      </w:r>
    </w:p>
    <w:p>
      <w:pPr>
        <w:pStyle w:val="2"/>
        <w:rPr>
          <w:rFonts w:hint="eastAsia" w:eastAsia="仿宋_GB2312"/>
          <w:sz w:val="24"/>
          <w:szCs w:val="24"/>
          <w:lang w:eastAsia="zh-CN"/>
        </w:rPr>
      </w:pPr>
      <w:r>
        <w:rPr>
          <w:rFonts w:hint="eastAsia" w:eastAsia="仿宋_GB2312"/>
          <w:sz w:val="24"/>
          <w:szCs w:val="24"/>
          <w:lang w:eastAsia="zh-CN"/>
        </w:rPr>
        <w:t>（</w:t>
      </w:r>
      <w:r>
        <w:rPr>
          <w:rFonts w:hint="eastAsia" w:eastAsia="仿宋_GB2312"/>
          <w:sz w:val="24"/>
          <w:szCs w:val="24"/>
          <w:lang w:val="en-US" w:eastAsia="zh-CN"/>
        </w:rPr>
        <w:t>16</w:t>
      </w:r>
      <w:r>
        <w:rPr>
          <w:rFonts w:hint="eastAsia" w:eastAsia="仿宋_GB2312"/>
          <w:sz w:val="24"/>
          <w:szCs w:val="24"/>
          <w:lang w:eastAsia="zh-CN"/>
        </w:rPr>
        <w:t>）《水利部关于进一步深化“放管服”改革，全面加强水土保持监管的意见》（水保〔2019〕160号）</w:t>
      </w:r>
    </w:p>
    <w:p>
      <w:pPr>
        <w:spacing w:line="360" w:lineRule="auto"/>
        <w:ind w:firstLine="480" w:firstLineChars="200"/>
        <w:rPr>
          <w:rFonts w:hint="eastAsia" w:ascii="Times New Roman" w:hAnsi="Times New Roman" w:eastAsia="仿宋_GB2312"/>
          <w:sz w:val="24"/>
          <w:szCs w:val="24"/>
          <w:lang w:eastAsia="zh-CN"/>
        </w:rPr>
      </w:pPr>
      <w:r>
        <w:rPr>
          <w:rFonts w:ascii="Times New Roman" w:hAnsi="Times New Roman" w:eastAsia="仿宋_GB2312"/>
          <w:sz w:val="24"/>
          <w:szCs w:val="24"/>
        </w:rPr>
        <w:t>（</w:t>
      </w:r>
      <w:r>
        <w:rPr>
          <w:rFonts w:hint="eastAsia" w:ascii="Times New Roman" w:hAnsi="Times New Roman" w:eastAsia="仿宋_GB2312"/>
          <w:sz w:val="24"/>
          <w:szCs w:val="24"/>
          <w:lang w:val="en-US" w:eastAsia="zh-CN"/>
        </w:rPr>
        <w:t>1</w:t>
      </w:r>
      <w:r>
        <w:rPr>
          <w:rFonts w:hint="eastAsia" w:eastAsia="仿宋_GB2312"/>
          <w:sz w:val="24"/>
          <w:szCs w:val="24"/>
          <w:lang w:val="en-US" w:eastAsia="zh-CN"/>
        </w:rPr>
        <w:t>7</w:t>
      </w:r>
      <w:r>
        <w:rPr>
          <w:rFonts w:ascii="Times New Roman" w:hAnsi="Times New Roman" w:eastAsia="仿宋_GB2312"/>
          <w:sz w:val="24"/>
          <w:szCs w:val="24"/>
        </w:rPr>
        <w:t>）水利部办公厅《</w:t>
      </w:r>
      <w:r>
        <w:rPr>
          <w:rFonts w:hint="eastAsia" w:ascii="Times New Roman" w:hAnsi="Times New Roman" w:eastAsia="仿宋_GB2312"/>
          <w:sz w:val="24"/>
          <w:szCs w:val="24"/>
        </w:rPr>
        <w:t>关于进一步加强生产建设项目水土保持监测工作的通知</w:t>
      </w:r>
      <w:r>
        <w:rPr>
          <w:rFonts w:ascii="Times New Roman" w:hAnsi="Times New Roman" w:eastAsia="仿宋_GB2312"/>
          <w:sz w:val="24"/>
          <w:szCs w:val="24"/>
        </w:rPr>
        <w:t>》（办水保[2</w:t>
      </w:r>
      <w:r>
        <w:rPr>
          <w:rFonts w:hint="eastAsia" w:ascii="Times New Roman" w:hAnsi="Times New Roman" w:eastAsia="仿宋_GB2312"/>
          <w:sz w:val="24"/>
          <w:szCs w:val="24"/>
          <w:lang w:val="en-US" w:eastAsia="zh-CN"/>
        </w:rPr>
        <w:t>020</w:t>
      </w:r>
      <w:r>
        <w:rPr>
          <w:rFonts w:ascii="Times New Roman" w:hAnsi="Times New Roman" w:eastAsia="仿宋_GB2312"/>
          <w:sz w:val="24"/>
          <w:szCs w:val="24"/>
        </w:rPr>
        <w:t>]</w:t>
      </w:r>
      <w:r>
        <w:rPr>
          <w:rFonts w:hint="eastAsia" w:ascii="Times New Roman" w:hAnsi="Times New Roman" w:eastAsia="仿宋_GB2312"/>
          <w:sz w:val="24"/>
          <w:szCs w:val="24"/>
          <w:lang w:val="en-US" w:eastAsia="zh-CN"/>
        </w:rPr>
        <w:t>161</w:t>
      </w:r>
      <w:r>
        <w:rPr>
          <w:rFonts w:ascii="Times New Roman" w:hAnsi="Times New Roman" w:eastAsia="仿宋_GB2312"/>
          <w:sz w:val="24"/>
          <w:szCs w:val="24"/>
        </w:rPr>
        <w:t>号）</w:t>
      </w:r>
      <w:r>
        <w:rPr>
          <w:rFonts w:hint="eastAsia" w:ascii="Times New Roman" w:hAnsi="Times New Roman" w:eastAsia="仿宋_GB2312"/>
          <w:sz w:val="24"/>
          <w:szCs w:val="24"/>
          <w:lang w:eastAsia="zh-CN"/>
        </w:rPr>
        <w:t>。</w:t>
      </w:r>
    </w:p>
    <w:p>
      <w:pPr>
        <w:spacing w:line="360" w:lineRule="auto"/>
        <w:ind w:firstLine="480" w:firstLineChars="200"/>
        <w:rPr>
          <w:rFonts w:hint="eastAsia" w:ascii="Times New Roman" w:hAnsi="Times New Roman" w:eastAsia="仿宋_GB2312"/>
          <w:sz w:val="24"/>
          <w:szCs w:val="24"/>
          <w:lang w:eastAsia="zh-CN"/>
        </w:rPr>
      </w:pPr>
      <w:r>
        <w:rPr>
          <w:rFonts w:ascii="Times New Roman" w:hAnsi="Times New Roman" w:eastAsia="仿宋_GB2312"/>
          <w:sz w:val="24"/>
          <w:szCs w:val="24"/>
        </w:rPr>
        <w:t>（</w:t>
      </w:r>
      <w:r>
        <w:rPr>
          <w:rFonts w:hint="eastAsia" w:ascii="Times New Roman" w:hAnsi="Times New Roman" w:eastAsia="仿宋_GB2312"/>
          <w:sz w:val="24"/>
          <w:szCs w:val="24"/>
          <w:lang w:val="en-US" w:eastAsia="zh-CN"/>
        </w:rPr>
        <w:t>1</w:t>
      </w:r>
      <w:r>
        <w:rPr>
          <w:rFonts w:hint="eastAsia" w:eastAsia="仿宋_GB2312"/>
          <w:sz w:val="24"/>
          <w:szCs w:val="24"/>
          <w:lang w:val="en-US" w:eastAsia="zh-CN"/>
        </w:rPr>
        <w:t>9</w:t>
      </w:r>
      <w:r>
        <w:rPr>
          <w:rFonts w:ascii="Times New Roman" w:hAnsi="Times New Roman" w:eastAsia="仿宋_GB2312"/>
          <w:sz w:val="24"/>
          <w:szCs w:val="24"/>
        </w:rPr>
        <w:t>）水利部办公厅《</w:t>
      </w:r>
      <w:r>
        <w:rPr>
          <w:rFonts w:hint="eastAsia" w:ascii="Times New Roman" w:hAnsi="Times New Roman" w:eastAsia="仿宋_GB2312"/>
          <w:sz w:val="24"/>
          <w:szCs w:val="24"/>
        </w:rPr>
        <w:t>关于做好生产建设项目水土保持承诺制管理的通知</w:t>
      </w:r>
      <w:r>
        <w:rPr>
          <w:rFonts w:ascii="Times New Roman" w:hAnsi="Times New Roman" w:eastAsia="仿宋_GB2312"/>
          <w:sz w:val="24"/>
          <w:szCs w:val="24"/>
        </w:rPr>
        <w:t>》（办水保[2</w:t>
      </w:r>
      <w:r>
        <w:rPr>
          <w:rFonts w:hint="eastAsia" w:ascii="Times New Roman" w:hAnsi="Times New Roman" w:eastAsia="仿宋_GB2312"/>
          <w:sz w:val="24"/>
          <w:szCs w:val="24"/>
          <w:lang w:val="en-US" w:eastAsia="zh-CN"/>
        </w:rPr>
        <w:t>020</w:t>
      </w:r>
      <w:r>
        <w:rPr>
          <w:rFonts w:ascii="Times New Roman" w:hAnsi="Times New Roman" w:eastAsia="仿宋_GB2312"/>
          <w:sz w:val="24"/>
          <w:szCs w:val="24"/>
        </w:rPr>
        <w:t>]</w:t>
      </w:r>
      <w:r>
        <w:rPr>
          <w:rFonts w:hint="eastAsia" w:ascii="Times New Roman" w:hAnsi="Times New Roman" w:eastAsia="仿宋_GB2312"/>
          <w:sz w:val="24"/>
          <w:szCs w:val="24"/>
          <w:lang w:val="en-US" w:eastAsia="zh-CN"/>
        </w:rPr>
        <w:t>160</w:t>
      </w:r>
      <w:r>
        <w:rPr>
          <w:rFonts w:ascii="Times New Roman" w:hAnsi="Times New Roman" w:eastAsia="仿宋_GB2312"/>
          <w:sz w:val="24"/>
          <w:szCs w:val="24"/>
        </w:rPr>
        <w:t>号）</w:t>
      </w:r>
      <w:r>
        <w:rPr>
          <w:rFonts w:hint="eastAsia" w:ascii="Times New Roman" w:hAnsi="Times New Roman" w:eastAsia="仿宋_GB2312"/>
          <w:sz w:val="24"/>
          <w:szCs w:val="24"/>
          <w:lang w:eastAsia="zh-CN"/>
        </w:rPr>
        <w:t>。</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1.2.4规范标准</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（1）中华人民共和国国家标准《生产建设项目水土保持技术</w:t>
      </w:r>
      <w:r>
        <w:rPr>
          <w:rFonts w:hint="eastAsia" w:ascii="Times New Roman" w:hAnsi="Times New Roman" w:eastAsia="仿宋_GB2312"/>
          <w:sz w:val="24"/>
          <w:szCs w:val="24"/>
          <w:lang w:eastAsia="zh-CN"/>
        </w:rPr>
        <w:t>标准</w:t>
      </w:r>
      <w:r>
        <w:rPr>
          <w:rFonts w:ascii="Times New Roman" w:hAnsi="Times New Roman" w:eastAsia="仿宋_GB2312"/>
          <w:sz w:val="24"/>
          <w:szCs w:val="24"/>
        </w:rPr>
        <w:t>》(GB 50433-2018）；</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（2）中华人民共和国国家标准《生产建设项目水土流失防治标准》(GB 50434-2018）；</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（3）中华人民共和国国家标准《防洪标准》(GB 50201-2014)；</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（4）中华人民共和国国家标准《开发建设项目水土保持设施验收技术规程》(GB/T  22490-2008)；</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（5）中华人民共和国国家标准《土地利用现状分类》(GB/T 21010-2007)；</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（6）中华人民共和国国家标准《主要造林树种苗木质量分级》（GB6000－1999）；</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（7）中华人民共和国水利行业标准《水利水电工程水土保持技术规范》(SL 575-2012)；</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（8）中华人民共和国水利行业标准《水土保持监测技术规程》(SL 277-2002)；</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（9）中华人民共和国水利行业标准《土壤侵蚀分类分级标准》(SL 190-2007)；</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（10）中华人民共和国水利行业标准《水土保持工程施工监理规范》(SL 523-2011)；</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（11）中华人民共和国水利行业标准《水土保持工程质量评定规程》(SL 336-2006)；</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（12）中华人民共和国行业标准《水利水电工程制图标准水土保持图》（SL73.6－2015）；</w:t>
      </w:r>
    </w:p>
    <w:p>
      <w:pPr>
        <w:spacing w:line="360" w:lineRule="auto"/>
        <w:ind w:firstLine="480" w:firstLineChars="200"/>
        <w:rPr>
          <w:rFonts w:hint="eastAsia" w:ascii="Times New Roman" w:hAnsi="Times New Roman" w:eastAsia="仿宋_GB2312"/>
          <w:sz w:val="24"/>
          <w:szCs w:val="24"/>
          <w:lang w:eastAsia="zh-CN"/>
        </w:rPr>
      </w:pPr>
      <w:r>
        <w:rPr>
          <w:rFonts w:ascii="Times New Roman" w:hAnsi="Times New Roman" w:eastAsia="仿宋_GB2312"/>
          <w:sz w:val="24"/>
          <w:szCs w:val="24"/>
        </w:rPr>
        <w:t>（13）国家计委、建设部《工程勘察设计收费标准》（2002年修订）</w:t>
      </w:r>
      <w:r>
        <w:rPr>
          <w:rFonts w:hint="eastAsia" w:ascii="Times New Roman" w:hAnsi="Times New Roman" w:eastAsia="仿宋_GB2312"/>
          <w:sz w:val="24"/>
          <w:szCs w:val="24"/>
          <w:lang w:eastAsia="zh-CN"/>
        </w:rPr>
        <w:t>；</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w:t>
      </w:r>
      <w:r>
        <w:rPr>
          <w:rFonts w:hint="eastAsia" w:ascii="Times New Roman" w:hAnsi="Times New Roman" w:eastAsia="仿宋_GB2312"/>
          <w:sz w:val="24"/>
          <w:szCs w:val="24"/>
          <w:lang w:val="en-US" w:eastAsia="zh-CN"/>
        </w:rPr>
        <w:t>14</w:t>
      </w:r>
      <w:r>
        <w:rPr>
          <w:rFonts w:hint="eastAsia" w:ascii="Times New Roman" w:hAnsi="Times New Roman" w:eastAsia="仿宋_GB2312"/>
          <w:sz w:val="24"/>
          <w:szCs w:val="24"/>
          <w:lang w:eastAsia="zh-CN"/>
        </w:rPr>
        <w:t>）</w:t>
      </w:r>
      <w:r>
        <w:rPr>
          <w:rFonts w:hint="eastAsia" w:ascii="Times New Roman" w:hAnsi="Times New Roman" w:eastAsia="仿宋_GB2312"/>
          <w:sz w:val="24"/>
          <w:szCs w:val="24"/>
        </w:rPr>
        <w:t>《生产建设项目水土保持监测与评价标准》(GB/T51240-2018)</w:t>
      </w:r>
      <w:r>
        <w:rPr>
          <w:rFonts w:hint="eastAsia" w:ascii="Times New Roman" w:hAnsi="Times New Roman" w:eastAsia="仿宋_GB2312"/>
          <w:sz w:val="24"/>
          <w:szCs w:val="24"/>
          <w:lang w:eastAsia="zh-CN"/>
        </w:rPr>
        <w:t>。</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1.2.5技术文件及资料</w:t>
      </w:r>
    </w:p>
    <w:p>
      <w:pPr>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rPr>
        <w:t>（1）采矿证；</w:t>
      </w:r>
    </w:p>
    <w:p>
      <w:pPr>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rPr>
        <w:t>（2）《山西省曲沃县自得建材有限公司石料片麻岩石英岩矿矿产资源开发利用、地质环境保护与土地复垦方案》</w:t>
      </w:r>
      <w:r>
        <w:rPr>
          <w:rFonts w:hint="eastAsia" w:eastAsia="仿宋_GB2312"/>
          <w:sz w:val="24"/>
          <w:lang w:eastAsia="zh-CN"/>
        </w:rPr>
        <w:t>（</w:t>
      </w:r>
      <w:r>
        <w:rPr>
          <w:rFonts w:hint="eastAsia" w:ascii="Times New Roman" w:hAnsi="Times New Roman" w:eastAsia="仿宋_GB2312"/>
          <w:sz w:val="24"/>
          <w:lang w:eastAsia="zh-CN"/>
        </w:rPr>
        <w:t>山西辉源矿山勘测技术服务有限公司</w:t>
      </w:r>
      <w:r>
        <w:rPr>
          <w:rFonts w:hint="eastAsia" w:eastAsia="仿宋_GB2312"/>
          <w:sz w:val="24"/>
          <w:lang w:eastAsia="zh-CN"/>
        </w:rPr>
        <w:t>，</w:t>
      </w:r>
      <w:r>
        <w:rPr>
          <w:rFonts w:hint="eastAsia" w:ascii="Times New Roman" w:hAnsi="Times New Roman" w:eastAsia="仿宋_GB2312"/>
          <w:sz w:val="24"/>
        </w:rPr>
        <w:t>20</w:t>
      </w:r>
      <w:r>
        <w:rPr>
          <w:rFonts w:hint="eastAsia" w:eastAsia="仿宋_GB2312"/>
          <w:sz w:val="24"/>
          <w:lang w:val="en-US" w:eastAsia="zh-CN"/>
        </w:rPr>
        <w:t>20</w:t>
      </w:r>
      <w:r>
        <w:rPr>
          <w:rFonts w:hint="eastAsia" w:ascii="Times New Roman" w:hAnsi="Times New Roman" w:eastAsia="仿宋_GB2312"/>
          <w:sz w:val="24"/>
        </w:rPr>
        <w:t>年</w:t>
      </w:r>
      <w:r>
        <w:rPr>
          <w:rFonts w:hint="eastAsia" w:ascii="Times New Roman" w:hAnsi="Times New Roman" w:eastAsia="仿宋_GB2312"/>
          <w:sz w:val="24"/>
          <w:lang w:val="en-US" w:eastAsia="zh-CN"/>
        </w:rPr>
        <w:t>1</w:t>
      </w:r>
      <w:r>
        <w:rPr>
          <w:rFonts w:hint="eastAsia" w:eastAsia="仿宋_GB2312"/>
          <w:sz w:val="24"/>
          <w:lang w:val="en-US" w:eastAsia="zh-CN"/>
        </w:rPr>
        <w:t>0</w:t>
      </w:r>
      <w:r>
        <w:rPr>
          <w:rFonts w:hint="eastAsia" w:ascii="Times New Roman" w:hAnsi="Times New Roman" w:eastAsia="仿宋_GB2312"/>
          <w:sz w:val="24"/>
        </w:rPr>
        <w:t>月</w:t>
      </w:r>
      <w:r>
        <w:rPr>
          <w:rFonts w:hint="eastAsia" w:eastAsia="仿宋_GB2312"/>
          <w:sz w:val="24"/>
          <w:lang w:eastAsia="zh-CN"/>
        </w:rPr>
        <w:t>）</w:t>
      </w:r>
      <w:r>
        <w:rPr>
          <w:rFonts w:hint="eastAsia" w:ascii="Times New Roman" w:hAnsi="Times New Roman" w:eastAsia="仿宋_GB2312"/>
          <w:sz w:val="24"/>
        </w:rPr>
        <w:t>；</w:t>
      </w:r>
    </w:p>
    <w:p>
      <w:pPr>
        <w:pStyle w:val="4"/>
        <w:spacing w:before="120" w:after="120" w:line="360" w:lineRule="auto"/>
        <w:ind w:firstLine="0"/>
        <w:rPr>
          <w:rFonts w:ascii="Times New Roman" w:hAnsi="Times New Roman" w:eastAsia="仿宋_GB2312" w:cs="Times New Roman"/>
          <w:b/>
          <w:bCs/>
          <w:sz w:val="32"/>
          <w:szCs w:val="32"/>
        </w:rPr>
      </w:pPr>
      <w:bookmarkStart w:id="33" w:name="_Toc13791"/>
      <w:bookmarkStart w:id="34" w:name="_Toc16798"/>
      <w:r>
        <w:rPr>
          <w:rFonts w:ascii="Times New Roman" w:hAnsi="Times New Roman" w:eastAsia="仿宋_GB2312" w:cs="Times New Roman"/>
          <w:b/>
          <w:bCs/>
          <w:sz w:val="32"/>
          <w:szCs w:val="32"/>
        </w:rPr>
        <w:t>1.3设计水平年</w:t>
      </w:r>
      <w:bookmarkEnd w:id="33"/>
      <w:bookmarkEnd w:id="34"/>
    </w:p>
    <w:p>
      <w:pPr>
        <w:spacing w:line="360" w:lineRule="auto"/>
        <w:ind w:firstLine="480" w:firstLineChars="200"/>
        <w:rPr>
          <w:rFonts w:ascii="Times New Roman" w:hAnsi="Times New Roman" w:eastAsia="仿宋_GB2312"/>
          <w:bCs/>
          <w:sz w:val="24"/>
          <w:szCs w:val="24"/>
        </w:rPr>
      </w:pPr>
      <w:r>
        <w:rPr>
          <w:rFonts w:hint="eastAsia" w:ascii="Times New Roman" w:hAnsi="Times New Roman" w:eastAsia="仿宋_GB2312"/>
          <w:bCs/>
          <w:sz w:val="24"/>
          <w:szCs w:val="24"/>
        </w:rPr>
        <w:t>本项目为改扩建类项目，方案设计水平年确定为2</w:t>
      </w:r>
      <w:r>
        <w:rPr>
          <w:rFonts w:hint="eastAsia" w:ascii="Times New Roman" w:hAnsi="Times New Roman" w:eastAsia="仿宋_GB2312"/>
          <w:bCs/>
          <w:sz w:val="24"/>
          <w:szCs w:val="24"/>
          <w:lang w:val="en-US" w:eastAsia="zh-CN"/>
        </w:rPr>
        <w:t>021</w:t>
      </w:r>
      <w:r>
        <w:rPr>
          <w:rFonts w:hint="eastAsia" w:ascii="Times New Roman" w:hAnsi="Times New Roman" w:eastAsia="仿宋_GB2312"/>
          <w:bCs/>
          <w:sz w:val="24"/>
          <w:szCs w:val="24"/>
        </w:rPr>
        <w:t>年。</w:t>
      </w:r>
    </w:p>
    <w:p>
      <w:pPr>
        <w:pStyle w:val="4"/>
        <w:spacing w:before="120" w:after="120" w:line="360" w:lineRule="auto"/>
        <w:ind w:firstLine="0"/>
        <w:rPr>
          <w:rFonts w:ascii="Times New Roman" w:hAnsi="Times New Roman" w:eastAsia="仿宋_GB2312" w:cs="Times New Roman"/>
          <w:b/>
          <w:bCs/>
          <w:sz w:val="32"/>
          <w:szCs w:val="32"/>
        </w:rPr>
      </w:pPr>
      <w:bookmarkStart w:id="35" w:name="_Toc12945"/>
      <w:bookmarkStart w:id="36" w:name="_Toc23844"/>
      <w:r>
        <w:rPr>
          <w:rFonts w:ascii="Times New Roman" w:hAnsi="Times New Roman" w:eastAsia="仿宋_GB2312" w:cs="Times New Roman"/>
          <w:b/>
          <w:bCs/>
          <w:sz w:val="32"/>
          <w:szCs w:val="32"/>
        </w:rPr>
        <w:t>1.4水土流失防治责任范围</w:t>
      </w:r>
      <w:bookmarkEnd w:id="35"/>
      <w:bookmarkEnd w:id="36"/>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根据“谁开发谁保护、谁造成水土流失谁负责治理”的原则，凡在生产建设过程中造成水土流失的，都必须采取措施对水土流失进行治理。结合本工程的总体布局和项目特点，确定本工程水土流失防治责任范围为项目建设区，</w:t>
      </w:r>
      <w:r>
        <w:rPr>
          <w:rFonts w:hint="eastAsia" w:ascii="Times New Roman" w:hAnsi="Times New Roman" w:eastAsia="仿宋_GB2312"/>
          <w:sz w:val="24"/>
          <w:szCs w:val="24"/>
          <w:lang w:eastAsia="zh-CN"/>
        </w:rPr>
        <w:t>即</w:t>
      </w:r>
      <w:r>
        <w:rPr>
          <w:rFonts w:ascii="Times New Roman" w:hAnsi="Times New Roman" w:eastAsia="仿宋_GB2312"/>
          <w:sz w:val="24"/>
          <w:szCs w:val="24"/>
        </w:rPr>
        <w:t>工程永久占地。</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szCs w:val="24"/>
        </w:rPr>
        <w:t>本项目水土流失防治责任范围为</w:t>
      </w:r>
      <w:r>
        <w:rPr>
          <w:rFonts w:hint="eastAsia" w:eastAsia="仿宋_GB2312"/>
          <w:sz w:val="24"/>
          <w:szCs w:val="24"/>
          <w:lang w:val="en-US" w:eastAsia="zh-CN"/>
        </w:rPr>
        <w:t>3.51</w:t>
      </w:r>
      <w:r>
        <w:rPr>
          <w:rFonts w:ascii="Times New Roman" w:hAnsi="Times New Roman" w:eastAsia="仿宋_GB2312"/>
          <w:sz w:val="24"/>
          <w:szCs w:val="24"/>
        </w:rPr>
        <w:t>hm</w:t>
      </w:r>
      <w:r>
        <w:rPr>
          <w:rFonts w:ascii="Times New Roman" w:hAnsi="Times New Roman" w:eastAsia="仿宋_GB2312"/>
          <w:sz w:val="24"/>
          <w:szCs w:val="24"/>
          <w:vertAlign w:val="superscript"/>
        </w:rPr>
        <w:t>2</w:t>
      </w:r>
      <w:r>
        <w:rPr>
          <w:rFonts w:ascii="Times New Roman" w:hAnsi="Times New Roman" w:eastAsia="仿宋_GB2312"/>
          <w:sz w:val="24"/>
          <w:szCs w:val="24"/>
        </w:rPr>
        <w:t>，全部为</w:t>
      </w:r>
      <w:r>
        <w:rPr>
          <w:rFonts w:hint="eastAsia" w:ascii="Times New Roman" w:hAnsi="Times New Roman" w:eastAsia="仿宋_GB2312"/>
          <w:sz w:val="24"/>
          <w:szCs w:val="24"/>
          <w:lang w:eastAsia="zh-CN"/>
        </w:rPr>
        <w:t>永久占地</w:t>
      </w:r>
      <w:r>
        <w:rPr>
          <w:rFonts w:ascii="Times New Roman" w:hAnsi="Times New Roman" w:eastAsia="仿宋_GB2312"/>
          <w:sz w:val="24"/>
          <w:szCs w:val="24"/>
        </w:rPr>
        <w:t>。占地类型包括</w:t>
      </w:r>
      <w:r>
        <w:rPr>
          <w:rFonts w:hint="eastAsia" w:ascii="Times New Roman" w:hAnsi="Times New Roman" w:eastAsia="仿宋_GB2312"/>
          <w:sz w:val="24"/>
          <w:szCs w:val="24"/>
          <w:lang w:eastAsia="zh-CN"/>
        </w:rPr>
        <w:t>工矿用地、交通运输用地</w:t>
      </w:r>
      <w:r>
        <w:rPr>
          <w:rFonts w:ascii="Times New Roman" w:hAnsi="Times New Roman" w:eastAsia="仿宋_GB2312"/>
          <w:sz w:val="24"/>
          <w:szCs w:val="24"/>
        </w:rPr>
        <w:t>。</w:t>
      </w:r>
      <w:r>
        <w:rPr>
          <w:rFonts w:ascii="Times New Roman" w:hAnsi="Times New Roman" w:eastAsia="仿宋_GB2312"/>
          <w:sz w:val="24"/>
        </w:rPr>
        <w:t>本项目建设区包括</w:t>
      </w:r>
      <w:r>
        <w:rPr>
          <w:rFonts w:hint="eastAsia" w:ascii="Times New Roman" w:hAnsi="Times New Roman" w:eastAsia="仿宋_GB2312"/>
          <w:sz w:val="24"/>
          <w:szCs w:val="24"/>
        </w:rPr>
        <w:t>、采场、</w:t>
      </w:r>
      <w:r>
        <w:rPr>
          <w:rFonts w:hint="eastAsia" w:eastAsia="仿宋_GB2312"/>
          <w:sz w:val="24"/>
          <w:szCs w:val="24"/>
          <w:lang w:eastAsia="zh-CN"/>
        </w:rPr>
        <w:t>加工产地、场地道路、输电线路</w:t>
      </w:r>
      <w:r>
        <w:rPr>
          <w:rFonts w:ascii="Times New Roman" w:hAnsi="Times New Roman" w:eastAsia="仿宋_GB2312"/>
          <w:sz w:val="24"/>
        </w:rPr>
        <w:t>。</w:t>
      </w:r>
    </w:p>
    <w:p>
      <w:pPr>
        <w:pStyle w:val="2"/>
      </w:pPr>
    </w:p>
    <w:p>
      <w:pPr>
        <w:autoSpaceDE w:val="0"/>
        <w:autoSpaceDN w:val="0"/>
        <w:adjustRightInd w:val="0"/>
        <w:jc w:val="center"/>
        <w:rPr>
          <w:rFonts w:ascii="Times New Roman" w:hAnsi="Times New Roman" w:eastAsia="仿宋_GB2312"/>
          <w:szCs w:val="21"/>
          <w:vertAlign w:val="superscript"/>
        </w:rPr>
      </w:pPr>
      <w:r>
        <w:rPr>
          <w:rFonts w:ascii="Times New Roman" w:hAnsi="Times New Roman" w:eastAsia="仿宋_GB2312"/>
          <w:b/>
          <w:sz w:val="24"/>
          <w:lang w:val="zh-CN"/>
        </w:rPr>
        <w:t>表</w:t>
      </w:r>
      <w:r>
        <w:rPr>
          <w:rFonts w:hint="eastAsia" w:ascii="Times New Roman" w:hAnsi="Times New Roman" w:eastAsia="仿宋_GB2312"/>
          <w:b/>
          <w:sz w:val="24"/>
          <w:lang w:val="en-US" w:eastAsia="zh-CN"/>
        </w:rPr>
        <w:t>1</w:t>
      </w:r>
      <w:r>
        <w:rPr>
          <w:rFonts w:ascii="Times New Roman" w:hAnsi="Times New Roman" w:eastAsia="仿宋_GB2312"/>
          <w:b/>
          <w:sz w:val="24"/>
          <w:lang w:val="zh-CN"/>
        </w:rPr>
        <w:t>-1  项目区水土流失防治责任范围及面积</w:t>
      </w:r>
      <w:r>
        <w:rPr>
          <w:rFonts w:ascii="Times New Roman" w:hAnsi="Times New Roman" w:eastAsia="仿宋_GB2312"/>
          <w:szCs w:val="21"/>
        </w:rPr>
        <w:t xml:space="preserve">      单位：hm</w:t>
      </w:r>
      <w:r>
        <w:rPr>
          <w:rFonts w:ascii="Times New Roman" w:hAnsi="Times New Roman" w:eastAsia="仿宋_GB2312"/>
          <w:szCs w:val="21"/>
          <w:vertAlign w:val="superscript"/>
        </w:rPr>
        <w:t>2</w:t>
      </w:r>
    </w:p>
    <w:tbl>
      <w:tblPr>
        <w:tblStyle w:val="24"/>
        <w:tblW w:w="8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3"/>
        <w:gridCol w:w="2247"/>
        <w:gridCol w:w="1400"/>
        <w:gridCol w:w="1399"/>
        <w:gridCol w:w="1401"/>
        <w:gridCol w:w="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0" w:hRule="atLeast"/>
        </w:trPr>
        <w:tc>
          <w:tcPr>
            <w:tcW w:w="5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序号</w:t>
            </w:r>
          </w:p>
        </w:tc>
        <w:tc>
          <w:tcPr>
            <w:tcW w:w="224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项目名称</w:t>
            </w:r>
          </w:p>
        </w:tc>
        <w:tc>
          <w:tcPr>
            <w:tcW w:w="42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占地类型</w:t>
            </w:r>
          </w:p>
        </w:tc>
        <w:tc>
          <w:tcPr>
            <w:tcW w:w="14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8"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22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工矿用地</w:t>
            </w: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交通运输用地</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其他草地</w:t>
            </w:r>
          </w:p>
        </w:tc>
        <w:tc>
          <w:tcPr>
            <w:tcW w:w="1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采场</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2.32</w:t>
            </w: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2</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加工场地</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0.36</w:t>
            </w: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3</w:t>
            </w:r>
          </w:p>
        </w:tc>
        <w:tc>
          <w:tcPr>
            <w:tcW w:w="2247"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场地道路</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lang w:val="en-US" w:eastAsia="zh-CN"/>
              </w:rPr>
            </w:pP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sz w:val="22"/>
                <w:szCs w:val="22"/>
                <w:u w:val="none"/>
                <w:lang w:val="en-US" w:eastAsia="zh-CN"/>
              </w:rPr>
              <w:t>0.82</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sz w:val="22"/>
                <w:szCs w:val="22"/>
                <w:u w:val="none"/>
                <w:lang w:val="en-US" w:eastAsia="zh-CN"/>
              </w:rPr>
              <w:t>0.82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4</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输电线路</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0"/>
                <w:sz w:val="21"/>
                <w:szCs w:val="21"/>
                <w:u w:val="none"/>
                <w:lang w:val="en-US" w:eastAsia="zh-CN" w:bidi="ar"/>
              </w:rPr>
            </w:pP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0.01</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3" w:hRule="atLeast"/>
        </w:trPr>
        <w:tc>
          <w:tcPr>
            <w:tcW w:w="28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合计</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2.68</w:t>
            </w: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ascii="Times New Roman" w:hAnsi="Times New Roman" w:eastAsia="宋体" w:cs="Times New Roman"/>
                <w:b/>
                <w:i w:val="0"/>
                <w:color w:val="000000"/>
                <w:kern w:val="0"/>
                <w:sz w:val="21"/>
                <w:szCs w:val="21"/>
                <w:u w:val="none"/>
                <w:lang w:val="en-US" w:eastAsia="zh-CN" w:bidi="ar"/>
              </w:rPr>
              <w:t>0</w:t>
            </w:r>
            <w:r>
              <w:rPr>
                <w:rFonts w:hint="eastAsia" w:eastAsia="宋体" w:cs="Times New Roman"/>
                <w:b/>
                <w:i w:val="0"/>
                <w:color w:val="000000"/>
                <w:kern w:val="0"/>
                <w:sz w:val="21"/>
                <w:szCs w:val="21"/>
                <w:u w:val="none"/>
                <w:lang w:val="en-US" w:eastAsia="zh-CN" w:bidi="ar"/>
              </w:rPr>
              <w:t>.82</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default" w:ascii="Times New Roman" w:hAnsi="Times New Roman" w:eastAsia="宋体" w:cs="Times New Roman"/>
                <w:b/>
                <w:i w:val="0"/>
                <w:color w:val="000000"/>
                <w:kern w:val="0"/>
                <w:sz w:val="21"/>
                <w:szCs w:val="21"/>
                <w:u w:val="none"/>
                <w:lang w:val="en-US" w:eastAsia="zh-CN" w:bidi="ar"/>
              </w:rPr>
              <w:t>0.01</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eastAsia="宋体" w:cs="Times New Roman"/>
                <w:b/>
                <w:i w:val="0"/>
                <w:color w:val="000000"/>
                <w:kern w:val="0"/>
                <w:sz w:val="21"/>
                <w:szCs w:val="21"/>
                <w:u w:val="none"/>
                <w:lang w:val="en-US" w:eastAsia="zh-CN" w:bidi="ar"/>
              </w:rPr>
              <w:t>3.51</w:t>
            </w:r>
          </w:p>
        </w:tc>
      </w:tr>
    </w:tbl>
    <w:p>
      <w:pPr>
        <w:spacing w:line="360" w:lineRule="auto"/>
        <w:ind w:firstLine="480" w:firstLineChars="200"/>
        <w:rPr>
          <w:rFonts w:ascii="Times New Roman" w:hAnsi="Times New Roman" w:eastAsia="仿宋_GB2312"/>
          <w:sz w:val="24"/>
          <w:szCs w:val="24"/>
        </w:rPr>
      </w:pPr>
    </w:p>
    <w:p>
      <w:pPr>
        <w:pStyle w:val="4"/>
        <w:spacing w:before="120" w:after="120" w:line="360" w:lineRule="auto"/>
        <w:ind w:firstLine="0"/>
        <w:rPr>
          <w:rFonts w:ascii="Times New Roman" w:hAnsi="Times New Roman" w:eastAsia="仿宋_GB2312" w:cs="Times New Roman"/>
          <w:b/>
          <w:bCs/>
          <w:sz w:val="32"/>
          <w:szCs w:val="32"/>
        </w:rPr>
      </w:pPr>
      <w:bookmarkStart w:id="37" w:name="_Toc22375"/>
      <w:bookmarkStart w:id="38" w:name="_Toc1778"/>
      <w:r>
        <w:rPr>
          <w:rFonts w:ascii="Times New Roman" w:hAnsi="Times New Roman" w:eastAsia="仿宋_GB2312" w:cs="Times New Roman"/>
          <w:b/>
          <w:bCs/>
          <w:sz w:val="32"/>
          <w:szCs w:val="32"/>
        </w:rPr>
        <w:t>1.5水土流失防治目标</w:t>
      </w:r>
      <w:bookmarkEnd w:id="37"/>
      <w:bookmarkEnd w:id="38"/>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1.5.1执行标准等级</w:t>
      </w:r>
    </w:p>
    <w:p>
      <w:pPr>
        <w:spacing w:line="360" w:lineRule="auto"/>
        <w:ind w:firstLine="480" w:firstLineChars="200"/>
        <w:rPr>
          <w:rFonts w:ascii="Times New Roman" w:hAnsi="Times New Roman" w:eastAsia="仿宋_GB2312"/>
          <w:sz w:val="24"/>
          <w:szCs w:val="24"/>
        </w:rPr>
      </w:pPr>
      <w:r>
        <w:rPr>
          <w:rFonts w:hint="eastAsia" w:eastAsia="仿宋_GB2312"/>
          <w:sz w:val="24"/>
          <w:lang w:eastAsia="zh-CN"/>
        </w:rPr>
        <w:t>根据《</w:t>
      </w:r>
      <w:r>
        <w:rPr>
          <w:rFonts w:hint="eastAsia" w:ascii="Times New Roman" w:hAnsi="Times New Roman" w:eastAsia="仿宋_GB2312"/>
          <w:sz w:val="24"/>
        </w:rPr>
        <w:t>山西省人民政府关于划分水土流失重点防治区的通告</w:t>
      </w:r>
      <w:r>
        <w:rPr>
          <w:rFonts w:hint="eastAsia" w:eastAsia="仿宋_GB2312"/>
          <w:sz w:val="24"/>
          <w:lang w:eastAsia="zh-CN"/>
        </w:rPr>
        <w:t>》，</w:t>
      </w:r>
      <w:r>
        <w:rPr>
          <w:rFonts w:ascii="Times New Roman" w:hAnsi="Times New Roman" w:eastAsia="仿宋_GB2312"/>
          <w:sz w:val="24"/>
          <w:szCs w:val="24"/>
        </w:rPr>
        <w:t>本工程所在的</w:t>
      </w:r>
      <w:r>
        <w:rPr>
          <w:rFonts w:hint="eastAsia" w:ascii="Times New Roman" w:hAnsi="Times New Roman" w:eastAsia="仿宋_GB2312"/>
          <w:sz w:val="24"/>
          <w:szCs w:val="24"/>
          <w:lang w:eastAsia="zh-CN"/>
        </w:rPr>
        <w:t>曲沃县</w:t>
      </w:r>
      <w:r>
        <w:rPr>
          <w:rFonts w:hint="eastAsia" w:ascii="Times New Roman" w:hAnsi="Times New Roman" w:eastAsia="仿宋_GB2312"/>
          <w:sz w:val="24"/>
        </w:rPr>
        <w:t>属于省级水土流失</w:t>
      </w:r>
      <w:r>
        <w:rPr>
          <w:rFonts w:hint="eastAsia" w:ascii="Times New Roman" w:hAnsi="Times New Roman" w:eastAsia="仿宋_GB2312"/>
          <w:sz w:val="24"/>
          <w:lang w:eastAsia="zh-CN"/>
        </w:rPr>
        <w:t>重点</w:t>
      </w:r>
      <w:r>
        <w:rPr>
          <w:rFonts w:hint="eastAsia" w:ascii="Times New Roman" w:hAnsi="Times New Roman" w:eastAsia="仿宋_GB2312"/>
          <w:sz w:val="24"/>
        </w:rPr>
        <w:t>预防保护区项目区</w:t>
      </w:r>
      <w:r>
        <w:rPr>
          <w:rFonts w:ascii="Times New Roman" w:hAnsi="Times New Roman" w:eastAsia="仿宋_GB2312"/>
          <w:sz w:val="24"/>
          <w:szCs w:val="24"/>
        </w:rPr>
        <w:t>，根据《生产建设项目水土流失防治标准》（GB/T50434-2018），确定水土流失防治执行生产建设项目一级标准。</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1.5.2防治目标</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a）项目建设范围内的新增水土流失应得到有效控制，原有水土流失得到治理；</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b）水土保持设施应安全有效；</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c）水土资源、林草植被应得到最大限度的保护与恢复；</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d）6项指标达到防治标准规定的要求</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1）水土流失总治理度</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项目水土流失防治责任范围内水土流失治理达标面积占水土流失总面积的93%以上。</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2）土壤流失控制比</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项目水土流失防治责任范围内容许土壤流失量与治理后每平方公里年平均土壤流失量之比为</w:t>
      </w:r>
      <w:r>
        <w:rPr>
          <w:rFonts w:hint="eastAsia" w:ascii="Times New Roman" w:hAnsi="Times New Roman" w:eastAsia="仿宋_GB2312"/>
          <w:sz w:val="24"/>
          <w:szCs w:val="24"/>
          <w:lang w:val="en-US" w:eastAsia="zh-CN"/>
        </w:rPr>
        <w:t>0.8</w:t>
      </w:r>
      <w:r>
        <w:rPr>
          <w:rFonts w:ascii="Times New Roman" w:hAnsi="Times New Roman" w:eastAsia="仿宋_GB2312"/>
          <w:sz w:val="24"/>
          <w:szCs w:val="24"/>
        </w:rPr>
        <w:t>。</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3）渣土防护率</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项目水土流失防治责任范围内采取措施实际挡护的永久弃渣、临时堆土数量占永久弃渣和临时堆土总量的92%以上。</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4）表土保护率</w:t>
      </w:r>
    </w:p>
    <w:p>
      <w:pPr>
        <w:spacing w:line="360" w:lineRule="auto"/>
        <w:ind w:firstLine="480" w:firstLineChars="200"/>
        <w:rPr>
          <w:rFonts w:hint="eastAsia" w:ascii="Times New Roman" w:hAnsi="Times New Roman" w:eastAsia="仿宋_GB2312"/>
          <w:sz w:val="24"/>
          <w:szCs w:val="24"/>
          <w:lang w:eastAsia="zh-CN"/>
        </w:rPr>
      </w:pPr>
      <w:r>
        <w:rPr>
          <w:rFonts w:ascii="Times New Roman" w:hAnsi="Times New Roman" w:eastAsia="仿宋_GB2312"/>
          <w:sz w:val="24"/>
          <w:szCs w:val="24"/>
        </w:rPr>
        <w:t>项目</w:t>
      </w:r>
      <w:r>
        <w:rPr>
          <w:rFonts w:hint="eastAsia" w:ascii="Times New Roman" w:hAnsi="Times New Roman" w:eastAsia="仿宋_GB2312"/>
          <w:sz w:val="24"/>
          <w:szCs w:val="24"/>
          <w:lang w:eastAsia="zh-CN"/>
        </w:rPr>
        <w:t>地地表基本为岩石，不具备表土剥离的价值，本项目不进行</w:t>
      </w:r>
      <w:r>
        <w:rPr>
          <w:rFonts w:ascii="Times New Roman" w:hAnsi="Times New Roman" w:eastAsia="仿宋_GB2312"/>
          <w:sz w:val="24"/>
          <w:szCs w:val="24"/>
        </w:rPr>
        <w:t>表土保护率</w:t>
      </w:r>
      <w:r>
        <w:rPr>
          <w:rFonts w:hint="eastAsia" w:ascii="Times New Roman" w:hAnsi="Times New Roman" w:eastAsia="仿宋_GB2312"/>
          <w:sz w:val="24"/>
          <w:szCs w:val="24"/>
          <w:lang w:eastAsia="zh-CN"/>
        </w:rPr>
        <w:t>计算。</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5）林草植被恢复率</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项目水土流失防治责任范围内林草类植被面积占可恢复林草植被面积的95%以上。</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6）林草覆盖率</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项目水土流失防治责任范围内林草类植被面积占总面积的</w:t>
      </w:r>
      <w:r>
        <w:rPr>
          <w:rFonts w:hint="eastAsia" w:ascii="Times New Roman" w:hAnsi="Times New Roman" w:eastAsia="仿宋_GB2312"/>
          <w:sz w:val="24"/>
          <w:szCs w:val="24"/>
          <w:lang w:val="en-US" w:eastAsia="zh-CN"/>
        </w:rPr>
        <w:t>24</w:t>
      </w:r>
      <w:r>
        <w:rPr>
          <w:rFonts w:ascii="Times New Roman" w:hAnsi="Times New Roman" w:eastAsia="仿宋_GB2312"/>
          <w:sz w:val="24"/>
          <w:szCs w:val="24"/>
        </w:rPr>
        <w:t>%以上。</w:t>
      </w:r>
    </w:p>
    <w:p>
      <w:pPr>
        <w:spacing w:line="360" w:lineRule="auto"/>
        <w:ind w:firstLine="480" w:firstLineChars="200"/>
        <w:rPr>
          <w:rFonts w:ascii="Times New Roman" w:hAnsi="Times New Roman" w:eastAsia="仿宋_GB2312"/>
          <w:sz w:val="24"/>
          <w:szCs w:val="24"/>
          <w:lang w:val="zh-CN"/>
        </w:rPr>
      </w:pPr>
      <w:r>
        <w:rPr>
          <w:rFonts w:ascii="Times New Roman" w:hAnsi="Times New Roman" w:eastAsia="仿宋_GB2312"/>
          <w:sz w:val="24"/>
          <w:szCs w:val="24"/>
          <w:lang w:val="zh-CN"/>
        </w:rPr>
        <w:t>防治目标详见表</w:t>
      </w:r>
      <w:r>
        <w:rPr>
          <w:rFonts w:hint="eastAsia" w:ascii="Times New Roman" w:hAnsi="Times New Roman" w:eastAsia="仿宋_GB2312"/>
          <w:sz w:val="24"/>
          <w:szCs w:val="24"/>
          <w:lang w:val="en-US" w:eastAsia="zh-CN"/>
        </w:rPr>
        <w:t>1</w:t>
      </w:r>
      <w:r>
        <w:rPr>
          <w:rFonts w:ascii="Times New Roman" w:hAnsi="Times New Roman" w:eastAsia="仿宋_GB2312"/>
          <w:sz w:val="24"/>
          <w:szCs w:val="24"/>
          <w:lang w:val="zh-CN"/>
        </w:rPr>
        <w:t>-1。</w:t>
      </w:r>
    </w:p>
    <w:p>
      <w:pPr>
        <w:rPr>
          <w:snapToGrid w:val="0"/>
          <w:lang w:val="zh-CN"/>
        </w:rPr>
      </w:pPr>
      <w:r>
        <w:rPr>
          <w:snapToGrid w:val="0"/>
          <w:lang w:val="zh-CN"/>
        </w:rPr>
        <w:br w:type="page"/>
      </w:r>
    </w:p>
    <w:p>
      <w:pPr>
        <w:pStyle w:val="43"/>
        <w:adjustRightInd/>
        <w:snapToGrid/>
        <w:ind w:firstLine="480"/>
        <w:rPr>
          <w:snapToGrid w:val="0"/>
          <w:lang w:val="zh-CN"/>
        </w:rPr>
      </w:pPr>
    </w:p>
    <w:p>
      <w:pPr>
        <w:pStyle w:val="48"/>
        <w:rPr>
          <w:snapToGrid w:val="0"/>
          <w:lang w:val="zh-CN"/>
        </w:rPr>
      </w:pPr>
      <w:r>
        <w:rPr>
          <w:snapToGrid w:val="0"/>
          <w:lang w:val="zh-CN"/>
        </w:rPr>
        <w:t>表1</w:t>
      </w:r>
      <w:r>
        <w:rPr>
          <w:snapToGrid w:val="0"/>
        </w:rPr>
        <w:t>-1</w:t>
      </w:r>
      <w:r>
        <w:rPr>
          <w:snapToGrid w:val="0"/>
        </w:rPr>
        <w:tab/>
      </w:r>
      <w:r>
        <w:rPr>
          <w:snapToGrid w:val="0"/>
          <w:lang w:val="zh-CN"/>
        </w:rPr>
        <w:t>水土流失防治目标表</w:t>
      </w:r>
    </w:p>
    <w:tbl>
      <w:tblPr>
        <w:tblStyle w:val="24"/>
        <w:tblW w:w="9116" w:type="dxa"/>
        <w:tblInd w:w="0" w:type="dxa"/>
        <w:tblLayout w:type="fixed"/>
        <w:tblCellMar>
          <w:top w:w="0" w:type="dxa"/>
          <w:left w:w="108" w:type="dxa"/>
          <w:bottom w:w="0" w:type="dxa"/>
          <w:right w:w="108" w:type="dxa"/>
        </w:tblCellMar>
      </w:tblPr>
      <w:tblGrid>
        <w:gridCol w:w="699"/>
        <w:gridCol w:w="2613"/>
        <w:gridCol w:w="1094"/>
        <w:gridCol w:w="1599"/>
        <w:gridCol w:w="2016"/>
        <w:gridCol w:w="1095"/>
      </w:tblGrid>
      <w:tr>
        <w:tblPrEx>
          <w:tblCellMar>
            <w:top w:w="0" w:type="dxa"/>
            <w:left w:w="108" w:type="dxa"/>
            <w:bottom w:w="0" w:type="dxa"/>
            <w:right w:w="108" w:type="dxa"/>
          </w:tblCellMar>
        </w:tblPrEx>
        <w:trPr>
          <w:trHeight w:val="402" w:hRule="atLeast"/>
        </w:trPr>
        <w:tc>
          <w:tcPr>
            <w:tcW w:w="699"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0"/>
              <w:rPr>
                <w:kern w:val="0"/>
              </w:rPr>
            </w:pPr>
            <w:r>
              <w:rPr>
                <w:kern w:val="0"/>
              </w:rPr>
              <w:t>序号</w:t>
            </w:r>
          </w:p>
        </w:tc>
        <w:tc>
          <w:tcPr>
            <w:tcW w:w="261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Style w:val="50"/>
              <w:rPr>
                <w:kern w:val="0"/>
              </w:rPr>
            </w:pPr>
            <w:r>
              <w:rPr>
                <w:kern w:val="0"/>
              </w:rPr>
              <w:t>评估项目</w:t>
            </w:r>
          </w:p>
        </w:tc>
        <w:tc>
          <w:tcPr>
            <w:tcW w:w="109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Style w:val="50"/>
              <w:rPr>
                <w:kern w:val="0"/>
              </w:rPr>
            </w:pPr>
            <w:r>
              <w:rPr>
                <w:kern w:val="0"/>
              </w:rPr>
              <w:t>标准值</w:t>
            </w:r>
          </w:p>
        </w:tc>
        <w:tc>
          <w:tcPr>
            <w:tcW w:w="1599" w:type="dxa"/>
            <w:tcBorders>
              <w:top w:val="single" w:color="auto" w:sz="4" w:space="0"/>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水土流失程度</w:t>
            </w:r>
          </w:p>
        </w:tc>
        <w:tc>
          <w:tcPr>
            <w:tcW w:w="2016"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0"/>
              <w:rPr>
                <w:kern w:val="0"/>
                <w:sz w:val="20"/>
                <w:szCs w:val="20"/>
              </w:rPr>
            </w:pPr>
            <w:r>
              <w:rPr>
                <w:kern w:val="0"/>
                <w:sz w:val="20"/>
                <w:szCs w:val="20"/>
              </w:rPr>
              <w:t>行业规定及现场实际</w:t>
            </w:r>
          </w:p>
        </w:tc>
        <w:tc>
          <w:tcPr>
            <w:tcW w:w="109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pStyle w:val="50"/>
              <w:rPr>
                <w:kern w:val="0"/>
              </w:rPr>
            </w:pPr>
            <w:r>
              <w:rPr>
                <w:kern w:val="0"/>
              </w:rPr>
              <w:t>目标值</w:t>
            </w:r>
          </w:p>
        </w:tc>
      </w:tr>
      <w:tr>
        <w:tblPrEx>
          <w:tblCellMar>
            <w:top w:w="0" w:type="dxa"/>
            <w:left w:w="108" w:type="dxa"/>
            <w:bottom w:w="0" w:type="dxa"/>
            <w:right w:w="108" w:type="dxa"/>
          </w:tblCellMar>
        </w:tblPrEx>
        <w:trPr>
          <w:trHeight w:val="402" w:hRule="atLeast"/>
        </w:trPr>
        <w:tc>
          <w:tcPr>
            <w:tcW w:w="699"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rPr>
            </w:pPr>
          </w:p>
        </w:tc>
        <w:tc>
          <w:tcPr>
            <w:tcW w:w="2613"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rPr>
            </w:pPr>
          </w:p>
        </w:tc>
        <w:tc>
          <w:tcPr>
            <w:tcW w:w="1094"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rPr>
            </w:pP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轻度</w:t>
            </w:r>
          </w:p>
        </w:tc>
        <w:tc>
          <w:tcPr>
            <w:tcW w:w="2016"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sz w:val="20"/>
                <w:szCs w:val="20"/>
              </w:rPr>
            </w:pPr>
          </w:p>
        </w:tc>
        <w:tc>
          <w:tcPr>
            <w:tcW w:w="1095" w:type="dxa"/>
            <w:vMerge w:val="continue"/>
            <w:tcBorders>
              <w:top w:val="single" w:color="auto" w:sz="4" w:space="0"/>
              <w:left w:val="single" w:color="auto" w:sz="4" w:space="0"/>
              <w:bottom w:val="single" w:color="000000" w:sz="4" w:space="0"/>
              <w:right w:val="single" w:color="auto" w:sz="4" w:space="0"/>
            </w:tcBorders>
            <w:vAlign w:val="center"/>
          </w:tcPr>
          <w:p>
            <w:pPr>
              <w:pStyle w:val="50"/>
              <w:rPr>
                <w:kern w:val="0"/>
              </w:rPr>
            </w:pP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1</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水土流失治理度（％）</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93</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93</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2</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土壤流失控制比</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0.8</w:t>
            </w:r>
          </w:p>
        </w:tc>
        <w:tc>
          <w:tcPr>
            <w:tcW w:w="1599" w:type="dxa"/>
            <w:tcBorders>
              <w:top w:val="nil"/>
              <w:left w:val="nil"/>
              <w:bottom w:val="single" w:color="auto" w:sz="4" w:space="0"/>
              <w:right w:val="single" w:color="auto" w:sz="4" w:space="0"/>
            </w:tcBorders>
            <w:shd w:val="clear" w:color="auto" w:fill="auto"/>
            <w:noWrap/>
            <w:vAlign w:val="center"/>
          </w:tcPr>
          <w:p>
            <w:pPr>
              <w:pStyle w:val="50"/>
              <w:rPr>
                <w:rFonts w:hint="eastAsia" w:eastAsia="宋体"/>
                <w:kern w:val="0"/>
                <w:sz w:val="20"/>
                <w:szCs w:val="20"/>
                <w:lang w:eastAsia="zh-CN"/>
              </w:rPr>
            </w:pPr>
            <w:r>
              <w:rPr>
                <w:kern w:val="0"/>
                <w:sz w:val="20"/>
                <w:szCs w:val="20"/>
              </w:rPr>
              <w:t>+0.</w:t>
            </w:r>
            <w:r>
              <w:rPr>
                <w:rFonts w:hint="eastAsia"/>
                <w:kern w:val="0"/>
                <w:sz w:val="20"/>
                <w:szCs w:val="20"/>
                <w:lang w:val="en-US" w:eastAsia="zh-CN"/>
              </w:rPr>
              <w:t>2</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rFonts w:hint="default" w:eastAsia="宋体"/>
                <w:kern w:val="0"/>
                <w:lang w:val="en-US" w:eastAsia="zh-CN"/>
              </w:rPr>
            </w:pPr>
            <w:r>
              <w:rPr>
                <w:rFonts w:hint="eastAsia"/>
                <w:kern w:val="0"/>
                <w:lang w:val="en-US" w:eastAsia="zh-CN"/>
              </w:rPr>
              <w:t>1.0</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3</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渣土防护率（％）</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92</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92</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4</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表土保护率（％）</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90</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rFonts w:hint="eastAsia" w:eastAsia="宋体"/>
                <w:kern w:val="0"/>
                <w:lang w:eastAsia="zh-CN"/>
              </w:rPr>
            </w:pPr>
            <w:r>
              <w:rPr>
                <w:rFonts w:hint="eastAsia"/>
                <w:kern w:val="0"/>
                <w:lang w:val="en-US" w:eastAsia="zh-CN"/>
              </w:rPr>
              <w:t>-</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5</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林草植被恢复率（％）</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95</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1095"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95</w:t>
            </w:r>
          </w:p>
        </w:tc>
      </w:tr>
      <w:tr>
        <w:tblPrEx>
          <w:tblCellMar>
            <w:top w:w="0" w:type="dxa"/>
            <w:left w:w="108" w:type="dxa"/>
            <w:bottom w:w="0" w:type="dxa"/>
            <w:right w:w="108" w:type="dxa"/>
          </w:tblCellMar>
        </w:tblPrEx>
        <w:trPr>
          <w:trHeight w:val="402" w:hRule="atLeast"/>
        </w:trPr>
        <w:tc>
          <w:tcPr>
            <w:tcW w:w="699" w:type="dxa"/>
            <w:tcBorders>
              <w:top w:val="nil"/>
              <w:left w:val="single" w:color="auto" w:sz="4" w:space="0"/>
              <w:bottom w:val="single" w:color="auto" w:sz="4" w:space="0"/>
              <w:right w:val="single" w:color="auto" w:sz="4" w:space="0"/>
            </w:tcBorders>
            <w:shd w:val="clear" w:color="auto" w:fill="auto"/>
            <w:noWrap/>
            <w:vAlign w:val="center"/>
          </w:tcPr>
          <w:p>
            <w:pPr>
              <w:pStyle w:val="50"/>
              <w:rPr>
                <w:kern w:val="0"/>
              </w:rPr>
            </w:pPr>
            <w:r>
              <w:rPr>
                <w:kern w:val="0"/>
              </w:rPr>
              <w:t>6</w:t>
            </w:r>
          </w:p>
        </w:tc>
        <w:tc>
          <w:tcPr>
            <w:tcW w:w="2613" w:type="dxa"/>
            <w:tcBorders>
              <w:top w:val="nil"/>
              <w:left w:val="nil"/>
              <w:bottom w:val="single" w:color="auto" w:sz="4" w:space="0"/>
              <w:right w:val="single" w:color="auto" w:sz="4" w:space="0"/>
            </w:tcBorders>
            <w:shd w:val="clear" w:color="auto" w:fill="auto"/>
            <w:vAlign w:val="center"/>
          </w:tcPr>
          <w:p>
            <w:pPr>
              <w:pStyle w:val="50"/>
              <w:ind w:left="216" w:leftChars="90"/>
              <w:jc w:val="left"/>
              <w:rPr>
                <w:kern w:val="0"/>
              </w:rPr>
            </w:pPr>
            <w:r>
              <w:rPr>
                <w:kern w:val="0"/>
              </w:rPr>
              <w:t>林草覆盖率（%）</w:t>
            </w:r>
          </w:p>
        </w:tc>
        <w:tc>
          <w:tcPr>
            <w:tcW w:w="1094" w:type="dxa"/>
            <w:tcBorders>
              <w:top w:val="nil"/>
              <w:left w:val="nil"/>
              <w:bottom w:val="single" w:color="auto" w:sz="4" w:space="0"/>
              <w:right w:val="single" w:color="auto" w:sz="4" w:space="0"/>
            </w:tcBorders>
            <w:shd w:val="clear" w:color="auto" w:fill="auto"/>
            <w:vAlign w:val="center"/>
          </w:tcPr>
          <w:p>
            <w:pPr>
              <w:pStyle w:val="50"/>
              <w:rPr>
                <w:kern w:val="0"/>
              </w:rPr>
            </w:pPr>
            <w:r>
              <w:rPr>
                <w:kern w:val="0"/>
              </w:rPr>
              <w:t>22</w:t>
            </w:r>
          </w:p>
        </w:tc>
        <w:tc>
          <w:tcPr>
            <w:tcW w:w="1599" w:type="dxa"/>
            <w:tcBorders>
              <w:top w:val="nil"/>
              <w:left w:val="nil"/>
              <w:bottom w:val="single" w:color="auto" w:sz="4" w:space="0"/>
              <w:right w:val="single" w:color="auto" w:sz="4" w:space="0"/>
            </w:tcBorders>
            <w:shd w:val="clear" w:color="auto" w:fill="auto"/>
            <w:noWrap/>
            <w:vAlign w:val="center"/>
          </w:tcPr>
          <w:p>
            <w:pPr>
              <w:pStyle w:val="50"/>
              <w:rPr>
                <w:kern w:val="0"/>
                <w:sz w:val="20"/>
                <w:szCs w:val="20"/>
              </w:rPr>
            </w:pPr>
            <w:r>
              <w:rPr>
                <w:kern w:val="0"/>
                <w:sz w:val="20"/>
                <w:szCs w:val="20"/>
              </w:rPr>
              <w:t>　</w:t>
            </w:r>
          </w:p>
        </w:tc>
        <w:tc>
          <w:tcPr>
            <w:tcW w:w="2016" w:type="dxa"/>
            <w:tcBorders>
              <w:top w:val="nil"/>
              <w:left w:val="nil"/>
              <w:bottom w:val="single" w:color="auto" w:sz="4" w:space="0"/>
              <w:right w:val="single" w:color="auto" w:sz="4" w:space="0"/>
            </w:tcBorders>
            <w:shd w:val="clear" w:color="auto" w:fill="auto"/>
            <w:noWrap/>
            <w:vAlign w:val="center"/>
          </w:tcPr>
          <w:p>
            <w:pPr>
              <w:pStyle w:val="50"/>
              <w:rPr>
                <w:rFonts w:hint="default" w:eastAsia="宋体"/>
                <w:kern w:val="0"/>
                <w:sz w:val="20"/>
                <w:szCs w:val="20"/>
                <w:lang w:val="en-US" w:eastAsia="zh-CN"/>
              </w:rPr>
            </w:pPr>
            <w:r>
              <w:rPr>
                <w:rFonts w:hint="eastAsia"/>
                <w:kern w:val="0"/>
                <w:sz w:val="20"/>
                <w:szCs w:val="20"/>
                <w:lang w:val="en-US" w:eastAsia="zh-CN"/>
              </w:rPr>
              <w:t>+1</w:t>
            </w:r>
          </w:p>
        </w:tc>
        <w:tc>
          <w:tcPr>
            <w:tcW w:w="1095" w:type="dxa"/>
            <w:tcBorders>
              <w:top w:val="nil"/>
              <w:left w:val="nil"/>
              <w:bottom w:val="single" w:color="auto" w:sz="4" w:space="0"/>
              <w:right w:val="single" w:color="auto" w:sz="4" w:space="0"/>
            </w:tcBorders>
            <w:shd w:val="clear" w:color="auto" w:fill="auto"/>
            <w:vAlign w:val="center"/>
          </w:tcPr>
          <w:p>
            <w:pPr>
              <w:pStyle w:val="50"/>
              <w:rPr>
                <w:rFonts w:hint="default" w:eastAsia="宋体"/>
                <w:kern w:val="0"/>
                <w:lang w:val="en-US" w:eastAsia="zh-CN"/>
              </w:rPr>
            </w:pPr>
            <w:r>
              <w:rPr>
                <w:rFonts w:hint="eastAsia"/>
                <w:kern w:val="0"/>
                <w:lang w:val="en-US" w:eastAsia="zh-CN"/>
              </w:rPr>
              <w:t>23</w:t>
            </w:r>
          </w:p>
        </w:tc>
      </w:tr>
    </w:tbl>
    <w:p>
      <w:pPr>
        <w:pStyle w:val="50"/>
        <w:jc w:val="left"/>
      </w:pPr>
      <w:r>
        <w:t>说明：根据水土流失程度，对水土流失控制比调整，增加0.2；</w:t>
      </w:r>
      <w:r>
        <w:rPr>
          <w:rFonts w:hint="eastAsia"/>
        </w:rPr>
        <w:t>项目区位于重点预防保护区内林草覆盖率增加</w:t>
      </w:r>
      <w:r>
        <w:rPr>
          <w:rFonts w:hint="eastAsia"/>
          <w:lang w:val="en-US" w:eastAsia="zh-CN"/>
        </w:rPr>
        <w:t>1</w:t>
      </w:r>
      <w:r>
        <w:rPr>
          <w:rFonts w:hint="eastAsia"/>
        </w:rPr>
        <w:t>%</w:t>
      </w:r>
      <w:r>
        <w:rPr>
          <w:rFonts w:hint="eastAsia"/>
          <w:lang w:eastAsia="zh-CN"/>
        </w:rPr>
        <w:t>；根据调查，本项目在所在地基本为裸露岩石，不具备表土剥离条件，因此本方案不进行表土剥离计算</w:t>
      </w:r>
      <w:r>
        <w:rPr>
          <w:rFonts w:hint="eastAsia"/>
        </w:rPr>
        <w:t>。</w:t>
      </w:r>
    </w:p>
    <w:p>
      <w:pPr>
        <w:pStyle w:val="4"/>
        <w:spacing w:before="120" w:after="120" w:line="360" w:lineRule="auto"/>
        <w:ind w:firstLine="0"/>
        <w:rPr>
          <w:rFonts w:ascii="Times New Roman" w:hAnsi="Times New Roman" w:eastAsia="仿宋_GB2312" w:cs="Times New Roman"/>
          <w:b/>
          <w:bCs/>
          <w:sz w:val="32"/>
          <w:szCs w:val="32"/>
        </w:rPr>
      </w:pPr>
      <w:bookmarkStart w:id="39" w:name="_Toc20439"/>
      <w:bookmarkStart w:id="40" w:name="_Toc10583"/>
      <w:r>
        <w:rPr>
          <w:rFonts w:ascii="Times New Roman" w:hAnsi="Times New Roman" w:eastAsia="仿宋_GB2312" w:cs="Times New Roman"/>
          <w:b/>
          <w:bCs/>
          <w:sz w:val="32"/>
          <w:szCs w:val="32"/>
        </w:rPr>
        <w:t>1.6项目水土保持评价结论</w:t>
      </w:r>
      <w:bookmarkEnd w:id="39"/>
      <w:bookmarkEnd w:id="40"/>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1.6.1主体工程选址（线）评价</w:t>
      </w:r>
    </w:p>
    <w:p>
      <w:pPr>
        <w:spacing w:line="360" w:lineRule="auto"/>
        <w:ind w:firstLine="480" w:firstLineChars="200"/>
        <w:rPr>
          <w:rFonts w:hint="eastAsia" w:ascii="Times New Roman" w:hAnsi="Times New Roman" w:eastAsia="仿宋_GB2312"/>
          <w:sz w:val="24"/>
          <w:szCs w:val="24"/>
          <w:lang w:eastAsia="zh-CN"/>
        </w:rPr>
      </w:pPr>
      <w:r>
        <w:rPr>
          <w:rFonts w:ascii="Times New Roman" w:hAnsi="Times New Roman" w:eastAsia="仿宋_GB2312"/>
          <w:sz w:val="24"/>
          <w:szCs w:val="24"/>
        </w:rPr>
        <w:t>（1）</w:t>
      </w:r>
      <w:r>
        <w:rPr>
          <w:rFonts w:hint="eastAsia" w:ascii="Times New Roman" w:hAnsi="Times New Roman" w:eastAsia="仿宋_GB2312"/>
          <w:sz w:val="24"/>
          <w:szCs w:val="24"/>
        </w:rPr>
        <w:t>工程选址不在河流两岸、湖泊和水库周边的植物保护带；不处于全国水土保持监测网络中的水土保持监测站点、重点试验区及国家确定的水土保持长期定位观测站</w:t>
      </w:r>
      <w:r>
        <w:rPr>
          <w:rFonts w:hint="eastAsia" w:ascii="Times New Roman" w:hAnsi="Times New Roman" w:eastAsia="仿宋_GB2312"/>
          <w:sz w:val="24"/>
          <w:szCs w:val="24"/>
          <w:lang w:eastAsia="zh-CN"/>
        </w:rPr>
        <w:t>。</w:t>
      </w:r>
    </w:p>
    <w:p>
      <w:pPr>
        <w:spacing w:line="360" w:lineRule="auto"/>
        <w:ind w:firstLine="480" w:firstLineChars="200"/>
        <w:rPr>
          <w:rFonts w:hint="eastAsia" w:ascii="Times New Roman" w:hAnsi="Times New Roman" w:eastAsia="仿宋_GB2312"/>
          <w:sz w:val="24"/>
          <w:szCs w:val="24"/>
        </w:rPr>
      </w:pPr>
      <w:r>
        <w:rPr>
          <w:rFonts w:ascii="Times New Roman" w:hAnsi="Times New Roman" w:eastAsia="仿宋_GB2312"/>
          <w:sz w:val="24"/>
          <w:szCs w:val="24"/>
        </w:rPr>
        <w:t>（2）</w:t>
      </w:r>
      <w:r>
        <w:rPr>
          <w:rFonts w:hint="eastAsia" w:ascii="Times New Roman" w:hAnsi="Times New Roman" w:eastAsia="仿宋_GB2312"/>
          <w:sz w:val="24"/>
          <w:szCs w:val="24"/>
        </w:rPr>
        <w:t>本项目区所在地属山西省水土流失重点预防保护区，选址无法避让，将通过提高措施标准，优化施工工艺等途径，减少地表植被的扰动和植被损坏范围，有效控制可能造成的水土流失。本项目按</w:t>
      </w:r>
      <w:r>
        <w:rPr>
          <w:rFonts w:hint="eastAsia" w:eastAsia="仿宋_GB2312"/>
          <w:sz w:val="24"/>
          <w:szCs w:val="24"/>
          <w:lang w:val="en-US" w:eastAsia="zh-CN"/>
        </w:rPr>
        <w:t>12</w:t>
      </w:r>
      <w:r>
        <w:rPr>
          <w:rFonts w:hint="eastAsia" w:ascii="Times New Roman" w:hAnsi="Times New Roman" w:eastAsia="仿宋_GB2312"/>
          <w:sz w:val="24"/>
          <w:szCs w:val="24"/>
        </w:rPr>
        <w:t>万t/a统筹规划，总体考虑了场址地形条件等各方面因素，进行统筹安排，统一布局，项目总体布置在满足生产要求的前提下，尽量减小占地面积，减少工程土石方开挖量，各施工场地布置紧凑合理，在满足施工需要的基础上，合理布局，减少了占地面积，减小了土地资源的扰动破坏。</w:t>
      </w:r>
    </w:p>
    <w:p>
      <w:pPr>
        <w:spacing w:line="360" w:lineRule="auto"/>
        <w:ind w:firstLine="480" w:firstLineChars="200"/>
        <w:rPr>
          <w:rFonts w:ascii="Times New Roman" w:hAnsi="Times New Roman" w:eastAsia="仿宋_GB2312"/>
          <w:sz w:val="24"/>
          <w:szCs w:val="24"/>
        </w:rPr>
      </w:pPr>
      <w:r>
        <w:rPr>
          <w:rFonts w:hint="eastAsia" w:ascii="Times New Roman" w:hAnsi="Times New Roman" w:eastAsia="仿宋_GB2312"/>
          <w:sz w:val="24"/>
          <w:szCs w:val="24"/>
        </w:rPr>
        <w:t>综上所述，从水土保持角度分析本工程建设方案与布局较为合理</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w:t>
      </w:r>
      <w:r>
        <w:rPr>
          <w:rFonts w:hint="eastAsia" w:ascii="Times New Roman" w:hAnsi="Times New Roman" w:eastAsia="仿宋_GB2312"/>
          <w:sz w:val="24"/>
          <w:szCs w:val="24"/>
          <w:lang w:val="en-US" w:eastAsia="zh-CN"/>
        </w:rPr>
        <w:t>3</w:t>
      </w:r>
      <w:r>
        <w:rPr>
          <w:rFonts w:ascii="Times New Roman" w:hAnsi="Times New Roman" w:eastAsia="仿宋_GB2312"/>
          <w:sz w:val="24"/>
          <w:szCs w:val="24"/>
        </w:rPr>
        <w:t>）主体工程对总的土石方进行调配，就近利用挖方作为填方，不存在弃方，符合水土保持要求。且施工工期的安排、施工工艺方面均符合水土保持要求。</w:t>
      </w:r>
    </w:p>
    <w:p>
      <w:pPr>
        <w:spacing w:line="360" w:lineRule="auto"/>
        <w:ind w:firstLine="480" w:firstLineChars="200"/>
        <w:rPr>
          <w:rFonts w:hint="eastAsia" w:ascii="Times New Roman" w:hAnsi="Times New Roman" w:eastAsia="仿宋_GB2312"/>
          <w:sz w:val="24"/>
          <w:szCs w:val="24"/>
        </w:rPr>
      </w:pPr>
      <w:r>
        <w:rPr>
          <w:rFonts w:ascii="Times New Roman" w:hAnsi="Times New Roman" w:eastAsia="仿宋_GB2312"/>
          <w:sz w:val="24"/>
          <w:szCs w:val="24"/>
        </w:rPr>
        <w:t>（</w:t>
      </w:r>
      <w:r>
        <w:rPr>
          <w:rFonts w:hint="eastAsia" w:ascii="Times New Roman" w:hAnsi="Times New Roman" w:eastAsia="仿宋_GB2312"/>
          <w:sz w:val="24"/>
          <w:szCs w:val="24"/>
          <w:lang w:val="en-US" w:eastAsia="zh-CN"/>
        </w:rPr>
        <w:t>4</w:t>
      </w:r>
      <w:r>
        <w:rPr>
          <w:rFonts w:ascii="Times New Roman" w:hAnsi="Times New Roman" w:eastAsia="仿宋_GB2312"/>
          <w:sz w:val="24"/>
          <w:szCs w:val="24"/>
        </w:rPr>
        <w:t>）</w:t>
      </w:r>
      <w:r>
        <w:rPr>
          <w:rFonts w:hint="eastAsia" w:ascii="Times New Roman" w:hAnsi="Times New Roman" w:eastAsia="仿宋_GB2312"/>
          <w:sz w:val="24"/>
          <w:szCs w:val="24"/>
        </w:rPr>
        <w:t>主体设计采场未考虑平台排水</w:t>
      </w:r>
      <w:r>
        <w:rPr>
          <w:rFonts w:hint="eastAsia" w:ascii="Times New Roman" w:hAnsi="Times New Roman" w:eastAsia="仿宋_GB2312"/>
          <w:sz w:val="24"/>
          <w:szCs w:val="24"/>
          <w:lang w:eastAsia="zh-CN"/>
        </w:rPr>
        <w:t>、截水</w:t>
      </w:r>
      <w:r>
        <w:rPr>
          <w:rFonts w:hint="eastAsia" w:ascii="Times New Roman" w:hAnsi="Times New Roman" w:eastAsia="仿宋_GB2312"/>
          <w:sz w:val="24"/>
          <w:szCs w:val="24"/>
        </w:rPr>
        <w:t>和闭场后的植被恢复等措施；</w:t>
      </w:r>
      <w:r>
        <w:rPr>
          <w:rFonts w:hint="eastAsia" w:eastAsia="仿宋_GB2312"/>
          <w:sz w:val="24"/>
          <w:szCs w:val="24"/>
          <w:lang w:eastAsia="zh-CN"/>
        </w:rPr>
        <w:t>场地道路</w:t>
      </w:r>
      <w:r>
        <w:rPr>
          <w:rFonts w:hint="eastAsia" w:ascii="Times New Roman" w:hAnsi="Times New Roman" w:eastAsia="仿宋_GB2312"/>
          <w:sz w:val="24"/>
          <w:szCs w:val="24"/>
        </w:rPr>
        <w:t>未考虑排水措施。从水土保持角度分析，不能形成有效的水土保持防护体系，本方案将增设相应的防护措施；</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w:t>
      </w:r>
      <w:r>
        <w:rPr>
          <w:rFonts w:hint="eastAsia" w:ascii="Times New Roman" w:hAnsi="Times New Roman" w:eastAsia="仿宋_GB2312"/>
          <w:sz w:val="24"/>
          <w:szCs w:val="24"/>
          <w:lang w:val="en-US" w:eastAsia="zh-CN"/>
        </w:rPr>
        <w:t>5</w:t>
      </w:r>
      <w:r>
        <w:rPr>
          <w:rFonts w:ascii="Times New Roman" w:hAnsi="Times New Roman" w:eastAsia="仿宋_GB2312"/>
          <w:sz w:val="24"/>
          <w:szCs w:val="24"/>
        </w:rPr>
        <w:t>）施工完毕后加强苗木抚育管理，使植物措施能够尽快发挥其生态效益。</w:t>
      </w:r>
    </w:p>
    <w:p>
      <w:pPr>
        <w:spacing w:line="360" w:lineRule="auto"/>
        <w:ind w:firstLine="480" w:firstLineChars="200"/>
        <w:rPr>
          <w:rFonts w:ascii="Times New Roman" w:hAnsi="Times New Roman" w:eastAsia="仿宋_GB2312"/>
          <w:sz w:val="24"/>
          <w:szCs w:val="24"/>
        </w:rPr>
      </w:pPr>
      <w:r>
        <w:rPr>
          <w:rFonts w:hint="eastAsia" w:ascii="Times New Roman" w:hAnsi="Times New Roman" w:eastAsia="仿宋_GB2312"/>
          <w:sz w:val="24"/>
          <w:szCs w:val="24"/>
        </w:rPr>
        <w:t>从以上分析可知，结合主体工程中具有水土保持功能的工程设计，方案在补充水土流失防治措施后，可形成合理有效的水土保持综合防护体系，将工程建设造成的土壤流失量控制在最低限度</w:t>
      </w:r>
      <w:r>
        <w:rPr>
          <w:rFonts w:ascii="Times New Roman" w:hAnsi="Times New Roman" w:eastAsia="仿宋_GB2312"/>
          <w:sz w:val="24"/>
          <w:szCs w:val="24"/>
        </w:rPr>
        <w:t>。</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1.6.2建设方案与布局评价</w:t>
      </w:r>
    </w:p>
    <w:p>
      <w:pPr>
        <w:spacing w:line="360" w:lineRule="auto"/>
        <w:ind w:firstLine="482" w:firstLineChars="200"/>
        <w:rPr>
          <w:rFonts w:ascii="Times New Roman" w:hAnsi="Times New Roman" w:eastAsia="仿宋_GB2312"/>
          <w:b/>
          <w:bCs/>
          <w:sz w:val="24"/>
          <w:szCs w:val="24"/>
        </w:rPr>
      </w:pPr>
      <w:r>
        <w:rPr>
          <w:rFonts w:hint="eastAsia" w:ascii="Times New Roman" w:hAnsi="Times New Roman" w:eastAsia="仿宋_GB2312"/>
          <w:b/>
          <w:bCs/>
          <w:sz w:val="24"/>
          <w:szCs w:val="24"/>
          <w:lang w:val="en-US" w:eastAsia="zh-CN"/>
        </w:rPr>
        <w:t>1</w:t>
      </w:r>
      <w:r>
        <w:rPr>
          <w:rFonts w:ascii="Times New Roman" w:hAnsi="Times New Roman" w:eastAsia="仿宋_GB2312"/>
          <w:b/>
          <w:bCs/>
          <w:sz w:val="24"/>
          <w:szCs w:val="24"/>
        </w:rPr>
        <w:t>、工程占地评价</w:t>
      </w:r>
    </w:p>
    <w:p>
      <w:pPr>
        <w:spacing w:line="360" w:lineRule="auto"/>
        <w:ind w:firstLine="480" w:firstLineChars="200"/>
        <w:rPr>
          <w:rFonts w:ascii="Times New Roman" w:hAnsi="Times New Roman" w:eastAsia="仿宋_GB2312"/>
          <w:sz w:val="24"/>
          <w:szCs w:val="24"/>
        </w:rPr>
      </w:pPr>
      <w:r>
        <w:rPr>
          <w:rFonts w:hint="eastAsia" w:ascii="Times New Roman" w:hAnsi="Times New Roman" w:eastAsia="仿宋_GB2312"/>
          <w:sz w:val="24"/>
          <w:szCs w:val="24"/>
        </w:rPr>
        <w:t>鉴于本工程特点以及根据《开发建设项目水土保持技术规范》中的规定，主体工程已建成运行，占地性质方面，本项目全部为永久占地，占地类型方面，本项目占地类型基本为工矿用地和交通运输用</w:t>
      </w:r>
      <w:r>
        <w:rPr>
          <w:rFonts w:hint="eastAsia" w:ascii="Times New Roman" w:hAnsi="Times New Roman" w:eastAsia="仿宋_GB2312"/>
          <w:sz w:val="24"/>
          <w:szCs w:val="24"/>
          <w:lang w:eastAsia="zh-CN"/>
        </w:rPr>
        <w:t>地</w:t>
      </w:r>
      <w:r>
        <w:rPr>
          <w:rFonts w:hint="eastAsia" w:ascii="Times New Roman" w:hAnsi="Times New Roman" w:eastAsia="仿宋_GB2312"/>
          <w:sz w:val="24"/>
          <w:szCs w:val="24"/>
        </w:rPr>
        <w:t>，未占用生产力较高的耕地和水土保持功能较强的林地，符合水土保持要求。占地指标方面，主体工程本着少占地的原则，充分合理地利用征占地，尽量将工程占地的面积减少到最小。本项目在占地性质、类型和占地指标方面均合理、可行、符合水土保持要求。</w:t>
      </w:r>
    </w:p>
    <w:p>
      <w:pPr>
        <w:spacing w:line="360" w:lineRule="auto"/>
        <w:ind w:firstLine="482" w:firstLineChars="200"/>
        <w:rPr>
          <w:rFonts w:ascii="Times New Roman" w:hAnsi="Times New Roman" w:eastAsia="仿宋_GB2312"/>
          <w:b/>
          <w:bCs/>
          <w:sz w:val="24"/>
          <w:szCs w:val="24"/>
        </w:rPr>
      </w:pPr>
      <w:r>
        <w:rPr>
          <w:rFonts w:hint="eastAsia" w:ascii="Times New Roman" w:hAnsi="Times New Roman" w:eastAsia="仿宋_GB2312"/>
          <w:b/>
          <w:bCs/>
          <w:sz w:val="24"/>
          <w:szCs w:val="24"/>
          <w:lang w:val="en-US" w:eastAsia="zh-CN"/>
        </w:rPr>
        <w:t>2</w:t>
      </w:r>
      <w:r>
        <w:rPr>
          <w:rFonts w:ascii="Times New Roman" w:hAnsi="Times New Roman" w:eastAsia="仿宋_GB2312"/>
          <w:b/>
          <w:bCs/>
          <w:sz w:val="24"/>
          <w:szCs w:val="24"/>
        </w:rPr>
        <w:t>、土石方平衡评价</w:t>
      </w:r>
    </w:p>
    <w:p>
      <w:pPr>
        <w:spacing w:line="360" w:lineRule="auto"/>
        <w:ind w:firstLine="480" w:firstLineChars="200"/>
        <w:rPr>
          <w:rFonts w:ascii="Times New Roman" w:hAnsi="Times New Roman" w:eastAsia="仿宋_GB2312"/>
          <w:sz w:val="24"/>
          <w:szCs w:val="24"/>
        </w:rPr>
      </w:pPr>
      <w:r>
        <w:rPr>
          <w:rFonts w:hint="eastAsia" w:ascii="Times New Roman" w:hAnsi="Times New Roman" w:eastAsia="仿宋_GB2312"/>
          <w:sz w:val="24"/>
          <w:szCs w:val="24"/>
          <w:lang w:eastAsia="zh-CN"/>
        </w:rPr>
        <w:t>本项目建设期挖填总量为</w:t>
      </w:r>
      <w:r>
        <w:rPr>
          <w:rFonts w:hint="eastAsia" w:eastAsia="仿宋_GB2312"/>
          <w:sz w:val="24"/>
          <w:szCs w:val="24"/>
          <w:lang w:val="en-US" w:eastAsia="zh-CN"/>
        </w:rPr>
        <w:t>1</w:t>
      </w:r>
      <w:r>
        <w:rPr>
          <w:rFonts w:hint="eastAsia" w:ascii="Times New Roman" w:hAnsi="Times New Roman" w:eastAsia="仿宋_GB2312"/>
          <w:sz w:val="24"/>
          <w:szCs w:val="24"/>
          <w:lang w:eastAsia="zh-CN"/>
        </w:rPr>
        <w:t>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。其中开挖</w:t>
      </w:r>
      <w:r>
        <w:rPr>
          <w:rFonts w:hint="eastAsia" w:eastAsia="仿宋_GB2312"/>
          <w:sz w:val="24"/>
          <w:szCs w:val="24"/>
          <w:lang w:val="en-US" w:eastAsia="zh-CN"/>
        </w:rPr>
        <w:t>0.5</w:t>
      </w:r>
      <w:r>
        <w:rPr>
          <w:rFonts w:hint="eastAsia" w:ascii="Times New Roman" w:hAnsi="Times New Roman" w:eastAsia="仿宋_GB2312"/>
          <w:sz w:val="24"/>
          <w:szCs w:val="24"/>
          <w:lang w:eastAsia="zh-CN"/>
        </w:rPr>
        <w:t>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，回填</w:t>
      </w:r>
      <w:r>
        <w:rPr>
          <w:rFonts w:hint="eastAsia" w:eastAsia="仿宋_GB2312"/>
          <w:sz w:val="24"/>
          <w:szCs w:val="24"/>
          <w:lang w:val="en-US" w:eastAsia="zh-CN"/>
        </w:rPr>
        <w:t>0.5</w:t>
      </w:r>
      <w:r>
        <w:rPr>
          <w:rFonts w:hint="eastAsia" w:ascii="Times New Roman" w:hAnsi="Times New Roman" w:eastAsia="仿宋_GB2312"/>
          <w:sz w:val="24"/>
          <w:szCs w:val="24"/>
          <w:lang w:eastAsia="zh-CN"/>
        </w:rPr>
        <w:t>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，无弃方，</w:t>
      </w:r>
      <w:r>
        <w:rPr>
          <w:rFonts w:ascii="Times New Roman" w:hAnsi="Times New Roman" w:eastAsia="仿宋_GB2312"/>
          <w:sz w:val="24"/>
          <w:szCs w:val="24"/>
        </w:rPr>
        <w:t>符合水土保持要求。</w:t>
      </w:r>
    </w:p>
    <w:p>
      <w:pPr>
        <w:spacing w:line="360" w:lineRule="auto"/>
        <w:ind w:firstLine="482" w:firstLineChars="200"/>
        <w:rPr>
          <w:rFonts w:ascii="Times New Roman" w:hAnsi="Times New Roman" w:eastAsia="仿宋_GB2312"/>
          <w:b/>
          <w:bCs/>
          <w:sz w:val="24"/>
          <w:szCs w:val="24"/>
        </w:rPr>
      </w:pPr>
      <w:r>
        <w:rPr>
          <w:rFonts w:ascii="Times New Roman" w:hAnsi="Times New Roman" w:eastAsia="仿宋_GB2312"/>
          <w:b/>
          <w:bCs/>
          <w:sz w:val="24"/>
          <w:szCs w:val="24"/>
        </w:rPr>
        <w:t>4、取土（石 、砂）场设置评价</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本项目不涉及取土场。</w:t>
      </w:r>
    </w:p>
    <w:p>
      <w:pPr>
        <w:spacing w:line="360" w:lineRule="auto"/>
        <w:ind w:firstLine="482" w:firstLineChars="200"/>
        <w:rPr>
          <w:rFonts w:ascii="Times New Roman" w:hAnsi="Times New Roman" w:eastAsia="仿宋_GB2312"/>
          <w:b/>
          <w:bCs/>
          <w:sz w:val="24"/>
          <w:szCs w:val="24"/>
        </w:rPr>
      </w:pPr>
      <w:r>
        <w:rPr>
          <w:rFonts w:ascii="Times New Roman" w:hAnsi="Times New Roman" w:eastAsia="仿宋_GB2312"/>
          <w:b/>
          <w:bCs/>
          <w:sz w:val="24"/>
          <w:szCs w:val="24"/>
        </w:rPr>
        <w:t>5、弃土（石、渣、灰、矸石、尾矿）场设置评价</w:t>
      </w:r>
    </w:p>
    <w:p>
      <w:pPr>
        <w:spacing w:line="360" w:lineRule="auto"/>
        <w:ind w:firstLine="480" w:firstLineChars="200"/>
        <w:rPr>
          <w:rFonts w:ascii="Times New Roman" w:hAnsi="Times New Roman" w:eastAsia="仿宋_GB2312"/>
          <w:sz w:val="24"/>
          <w:szCs w:val="24"/>
        </w:rPr>
      </w:pPr>
      <w:r>
        <w:rPr>
          <w:rFonts w:hint="eastAsia" w:ascii="Times New Roman" w:hAnsi="Times New Roman" w:eastAsia="仿宋_GB2312"/>
          <w:sz w:val="24"/>
          <w:szCs w:val="24"/>
          <w:lang w:eastAsia="zh-CN"/>
        </w:rPr>
        <w:t>矿山生产过程中产生的废石（废石总量0.53万m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岩性主要有寒武系中统馒头组白云质灰岩、泥灰岩、薄层灰岩和白云岩等）已与曲沃县顺风建材有限公司签订废石购销合同，全部运往曲沃县顺风建材有限建材公司综合利用。曲沃县顺风建材有限公司设计年生产加工矿石10万t，建设有石料破碎筛分设备，用于石料加工，加工后生产建筑材料用于水泥制品、砖等企业作为加工原料，有能力满足项目生产过程的中废石处理问题。</w:t>
      </w:r>
      <w:r>
        <w:rPr>
          <w:rFonts w:hint="eastAsia" w:ascii="Times New Roman" w:hAnsi="Times New Roman" w:eastAsia="仿宋_GB2312"/>
          <w:sz w:val="24"/>
          <w:szCs w:val="24"/>
        </w:rPr>
        <w:t>最大限度的减少了水土流失，符合水土保持要求。</w:t>
      </w:r>
    </w:p>
    <w:p>
      <w:pPr>
        <w:spacing w:line="360" w:lineRule="auto"/>
        <w:ind w:firstLine="482" w:firstLineChars="200"/>
        <w:rPr>
          <w:rFonts w:ascii="Times New Roman" w:hAnsi="Times New Roman" w:eastAsia="仿宋_GB2312"/>
          <w:b/>
          <w:bCs/>
          <w:sz w:val="24"/>
          <w:szCs w:val="24"/>
        </w:rPr>
      </w:pPr>
      <w:r>
        <w:rPr>
          <w:rFonts w:ascii="Times New Roman" w:hAnsi="Times New Roman" w:eastAsia="仿宋_GB2312"/>
          <w:b/>
          <w:bCs/>
          <w:sz w:val="24"/>
          <w:szCs w:val="24"/>
        </w:rPr>
        <w:t>6、施工方法与工艺评价</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施工所需建筑材料在当地购买，其水土流失防治责任由开采商负责。</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建筑材料随用随运，利用仓库或专门堆放场集中储存和堆放。</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主体工程选用的均为比较成熟的施工工艺，通过合理安排工序，防止重复开挖和土方多次倒运。通过合理安排施工进度与时序，缩小了裸露面积和减少裸露时间，同时减少了施工过程中因降水可能产生的水土流失。</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综上所述，从水土保持角度出发，以上施工工艺以及施工工序比较合理。</w:t>
      </w:r>
    </w:p>
    <w:p>
      <w:pPr>
        <w:pStyle w:val="4"/>
        <w:spacing w:before="120" w:after="120" w:line="360" w:lineRule="auto"/>
        <w:ind w:firstLine="0"/>
        <w:rPr>
          <w:rFonts w:ascii="Times New Roman" w:hAnsi="Times New Roman" w:eastAsia="仿宋_GB2312" w:cs="Times New Roman"/>
          <w:b/>
          <w:bCs/>
          <w:sz w:val="32"/>
          <w:szCs w:val="32"/>
        </w:rPr>
      </w:pPr>
      <w:bookmarkStart w:id="41" w:name="_Toc19105"/>
      <w:bookmarkStart w:id="42" w:name="_Toc25579"/>
      <w:r>
        <w:rPr>
          <w:rFonts w:ascii="Times New Roman" w:hAnsi="Times New Roman" w:eastAsia="仿宋_GB2312" w:cs="Times New Roman"/>
          <w:b/>
          <w:bCs/>
          <w:sz w:val="32"/>
          <w:szCs w:val="32"/>
        </w:rPr>
        <w:t>1.7水土流失预测结果</w:t>
      </w:r>
      <w:bookmarkEnd w:id="41"/>
      <w:bookmarkEnd w:id="42"/>
    </w:p>
    <w:p>
      <w:pPr>
        <w:spacing w:line="360" w:lineRule="auto"/>
        <w:ind w:firstLine="480" w:firstLineChars="200"/>
        <w:rPr>
          <w:rFonts w:ascii="Times New Roman" w:hAnsi="Times New Roman" w:eastAsia="仿宋_GB2312"/>
          <w:kern w:val="24"/>
          <w:sz w:val="24"/>
        </w:rPr>
      </w:pPr>
      <w:r>
        <w:rPr>
          <w:rFonts w:ascii="Times New Roman" w:hAnsi="Times New Roman" w:eastAsia="仿宋_GB2312"/>
          <w:kern w:val="24"/>
          <w:sz w:val="24"/>
        </w:rPr>
        <w:t>（1）该工程建设施工期间扰动地表、破坏植被面积为</w:t>
      </w:r>
      <w:r>
        <w:rPr>
          <w:rFonts w:hint="eastAsia" w:eastAsia="仿宋_GB2312"/>
          <w:kern w:val="24"/>
          <w:sz w:val="24"/>
          <w:lang w:val="en-US" w:eastAsia="zh-CN"/>
        </w:rPr>
        <w:t>3.51</w:t>
      </w:r>
      <w:r>
        <w:rPr>
          <w:rFonts w:ascii="Times New Roman" w:hAnsi="Times New Roman" w:eastAsia="仿宋_GB2312"/>
          <w:kern w:val="24"/>
          <w:sz w:val="24"/>
        </w:rPr>
        <w:t>hm</w:t>
      </w:r>
      <w:r>
        <w:rPr>
          <w:rFonts w:ascii="Times New Roman" w:hAnsi="Times New Roman" w:eastAsia="仿宋_GB2312"/>
          <w:kern w:val="24"/>
          <w:sz w:val="24"/>
          <w:vertAlign w:val="superscript"/>
        </w:rPr>
        <w:t>2</w:t>
      </w:r>
      <w:r>
        <w:rPr>
          <w:rFonts w:ascii="Times New Roman" w:hAnsi="Times New Roman" w:eastAsia="仿宋_GB2312"/>
          <w:kern w:val="24"/>
          <w:sz w:val="24"/>
        </w:rPr>
        <w:t>；损坏水土保持设施面积为</w:t>
      </w:r>
      <w:r>
        <w:rPr>
          <w:rFonts w:hint="eastAsia" w:eastAsia="仿宋_GB2312"/>
          <w:kern w:val="24"/>
          <w:sz w:val="24"/>
          <w:lang w:val="en-US" w:eastAsia="zh-CN"/>
        </w:rPr>
        <w:t>3.51</w:t>
      </w:r>
      <w:r>
        <w:rPr>
          <w:rFonts w:ascii="Times New Roman" w:hAnsi="Times New Roman" w:eastAsia="仿宋_GB2312"/>
          <w:kern w:val="24"/>
          <w:sz w:val="24"/>
        </w:rPr>
        <w:t>hm</w:t>
      </w:r>
      <w:r>
        <w:rPr>
          <w:rFonts w:ascii="Times New Roman" w:hAnsi="Times New Roman" w:eastAsia="仿宋_GB2312"/>
          <w:kern w:val="24"/>
          <w:sz w:val="24"/>
          <w:vertAlign w:val="superscript"/>
        </w:rPr>
        <w:t>2</w:t>
      </w:r>
      <w:r>
        <w:rPr>
          <w:rFonts w:ascii="Times New Roman" w:hAnsi="Times New Roman" w:eastAsia="仿宋_GB2312"/>
          <w:kern w:val="24"/>
          <w:sz w:val="24"/>
        </w:rPr>
        <w:t>。</w:t>
      </w:r>
    </w:p>
    <w:p>
      <w:pPr>
        <w:spacing w:line="360" w:lineRule="auto"/>
        <w:ind w:firstLine="540" w:firstLineChars="200"/>
        <w:rPr>
          <w:rFonts w:ascii="Times New Roman" w:hAnsi="Times New Roman" w:eastAsia="仿宋_GB2312"/>
          <w:sz w:val="24"/>
        </w:rPr>
      </w:pPr>
      <w:r>
        <w:rPr>
          <w:rFonts w:ascii="Times New Roman" w:hAnsi="Times New Roman" w:eastAsia="仿宋_GB2312" w:cs="Times New Roman"/>
          <w:spacing w:val="15"/>
          <w:kern w:val="2"/>
          <w:sz w:val="24"/>
          <w:szCs w:val="28"/>
          <w:lang w:val="en-US" w:eastAsia="zh-CN" w:bidi="ar-SA"/>
        </w:rPr>
        <w:t>（2）</w:t>
      </w:r>
      <w:r>
        <w:rPr>
          <w:rFonts w:hint="eastAsia" w:ascii="Times New Roman" w:hAnsi="Times New Roman" w:eastAsia="仿宋_GB2312"/>
          <w:sz w:val="24"/>
          <w:szCs w:val="24"/>
          <w:lang w:eastAsia="zh-CN"/>
        </w:rPr>
        <w:t>本项目建设期挖填总量为</w:t>
      </w:r>
      <w:r>
        <w:rPr>
          <w:rFonts w:hint="eastAsia" w:eastAsia="仿宋_GB2312"/>
          <w:sz w:val="24"/>
          <w:szCs w:val="24"/>
          <w:lang w:val="en-US" w:eastAsia="zh-CN"/>
        </w:rPr>
        <w:t>1</w:t>
      </w:r>
      <w:r>
        <w:rPr>
          <w:rFonts w:hint="eastAsia" w:ascii="Times New Roman" w:hAnsi="Times New Roman" w:eastAsia="仿宋_GB2312"/>
          <w:sz w:val="24"/>
          <w:szCs w:val="24"/>
          <w:lang w:eastAsia="zh-CN"/>
        </w:rPr>
        <w:t>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。其中开挖</w:t>
      </w:r>
      <w:r>
        <w:rPr>
          <w:rFonts w:hint="eastAsia" w:eastAsia="仿宋_GB2312"/>
          <w:sz w:val="24"/>
          <w:szCs w:val="24"/>
          <w:lang w:val="en-US" w:eastAsia="zh-CN"/>
        </w:rPr>
        <w:t>0.5</w:t>
      </w:r>
      <w:r>
        <w:rPr>
          <w:rFonts w:hint="eastAsia" w:ascii="Times New Roman" w:hAnsi="Times New Roman" w:eastAsia="仿宋_GB2312"/>
          <w:sz w:val="24"/>
          <w:szCs w:val="24"/>
          <w:lang w:eastAsia="zh-CN"/>
        </w:rPr>
        <w:t>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，回填0</w:t>
      </w:r>
      <w:r>
        <w:rPr>
          <w:rFonts w:hint="eastAsia" w:eastAsia="仿宋_GB2312"/>
          <w:sz w:val="24"/>
          <w:szCs w:val="24"/>
          <w:lang w:val="en-US" w:eastAsia="zh-CN"/>
        </w:rPr>
        <w:t>.5</w:t>
      </w:r>
      <w:r>
        <w:rPr>
          <w:rFonts w:hint="eastAsia" w:ascii="Times New Roman" w:hAnsi="Times New Roman" w:eastAsia="仿宋_GB2312"/>
          <w:sz w:val="24"/>
          <w:szCs w:val="24"/>
          <w:lang w:eastAsia="zh-CN"/>
        </w:rPr>
        <w:t>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，无弃方</w:t>
      </w:r>
      <w:r>
        <w:rPr>
          <w:rFonts w:ascii="Times New Roman" w:hAnsi="Times New Roman" w:eastAsia="仿宋_GB2312"/>
          <w:sz w:val="24"/>
        </w:rPr>
        <w:t>。</w:t>
      </w:r>
    </w:p>
    <w:p>
      <w:pPr>
        <w:pStyle w:val="2"/>
        <w:ind w:firstLine="480"/>
        <w:rPr>
          <w:rFonts w:ascii="Times New Roman" w:hAnsi="Times New Roman" w:eastAsia="仿宋_GB2312"/>
          <w:sz w:val="24"/>
        </w:rPr>
      </w:pPr>
      <w:r>
        <w:rPr>
          <w:rFonts w:ascii="Times New Roman" w:hAnsi="Times New Roman" w:eastAsia="仿宋_GB2312"/>
          <w:sz w:val="24"/>
        </w:rPr>
        <w:t>（3）</w:t>
      </w:r>
      <w:r>
        <w:rPr>
          <w:rFonts w:hint="eastAsia" w:ascii="Times New Roman" w:hAnsi="Times New Roman" w:eastAsia="仿宋_GB2312"/>
          <w:sz w:val="24"/>
        </w:rPr>
        <w:t>项目原地貌土壤流失总量为</w:t>
      </w:r>
      <w:r>
        <w:rPr>
          <w:rFonts w:hint="eastAsia" w:eastAsia="仿宋_GB2312"/>
          <w:sz w:val="24"/>
          <w:lang w:val="en-US" w:eastAsia="zh-CN"/>
        </w:rPr>
        <w:t>549.62</w:t>
      </w:r>
      <w:r>
        <w:rPr>
          <w:rFonts w:hint="eastAsia" w:ascii="Times New Roman" w:hAnsi="Times New Roman" w:eastAsia="仿宋_GB2312"/>
          <w:sz w:val="24"/>
        </w:rPr>
        <w:t>t，扰动后土壤流失总量为</w:t>
      </w:r>
      <w:r>
        <w:rPr>
          <w:rFonts w:hint="eastAsia" w:eastAsia="仿宋_GB2312"/>
          <w:sz w:val="24"/>
          <w:lang w:val="en-US" w:eastAsia="zh-CN"/>
        </w:rPr>
        <w:t>683.47</w:t>
      </w:r>
      <w:r>
        <w:rPr>
          <w:rFonts w:hint="eastAsia" w:ascii="Times New Roman" w:hAnsi="Times New Roman" w:eastAsia="仿宋_GB2312"/>
          <w:sz w:val="24"/>
        </w:rPr>
        <w:t>t，新增土壤流失量</w:t>
      </w:r>
      <w:r>
        <w:rPr>
          <w:rFonts w:hint="eastAsia" w:eastAsia="仿宋_GB2312"/>
          <w:sz w:val="24"/>
          <w:lang w:val="en-US" w:eastAsia="zh-CN"/>
        </w:rPr>
        <w:t>133.85</w:t>
      </w:r>
      <w:r>
        <w:rPr>
          <w:rFonts w:hint="eastAsia" w:ascii="Times New Roman" w:hAnsi="Times New Roman" w:eastAsia="仿宋_GB2312"/>
          <w:sz w:val="24"/>
        </w:rPr>
        <w:t>t</w:t>
      </w:r>
      <w:r>
        <w:rPr>
          <w:rFonts w:ascii="Times New Roman" w:hAnsi="Times New Roman" w:eastAsia="仿宋_GB2312"/>
          <w:sz w:val="24"/>
        </w:rPr>
        <w:t>。</w:t>
      </w:r>
    </w:p>
    <w:p>
      <w:pPr>
        <w:pStyle w:val="2"/>
        <w:ind w:firstLine="480"/>
        <w:rPr>
          <w:rFonts w:eastAsia="仿宋_GB2312"/>
          <w:spacing w:val="0"/>
          <w:sz w:val="24"/>
          <w:szCs w:val="24"/>
        </w:rPr>
      </w:pPr>
      <w:r>
        <w:rPr>
          <w:rFonts w:eastAsia="仿宋_GB2312"/>
          <w:spacing w:val="0"/>
          <w:sz w:val="24"/>
          <w:szCs w:val="24"/>
        </w:rPr>
        <w:t>（4）预测可能造成的水土流失危害有：</w:t>
      </w:r>
      <w:r>
        <w:rPr>
          <w:spacing w:val="0"/>
          <w:sz w:val="24"/>
          <w:szCs w:val="24"/>
        </w:rPr>
        <w:t>①</w:t>
      </w:r>
      <w:r>
        <w:rPr>
          <w:rFonts w:eastAsia="仿宋_GB2312"/>
          <w:spacing w:val="0"/>
          <w:sz w:val="24"/>
          <w:szCs w:val="24"/>
        </w:rPr>
        <w:t>加剧项目区及周边地区的水土流失；</w:t>
      </w:r>
      <w:r>
        <w:rPr>
          <w:spacing w:val="0"/>
          <w:sz w:val="24"/>
          <w:szCs w:val="24"/>
        </w:rPr>
        <w:t>②</w:t>
      </w:r>
      <w:r>
        <w:rPr>
          <w:rFonts w:eastAsia="仿宋_GB2312"/>
          <w:spacing w:val="0"/>
          <w:sz w:val="24"/>
          <w:szCs w:val="24"/>
        </w:rPr>
        <w:t>破坏了土地资源；</w:t>
      </w:r>
      <w:r>
        <w:rPr>
          <w:spacing w:val="0"/>
          <w:sz w:val="24"/>
          <w:szCs w:val="24"/>
        </w:rPr>
        <w:t>③</w:t>
      </w:r>
      <w:r>
        <w:rPr>
          <w:rFonts w:eastAsia="仿宋_GB2312"/>
          <w:spacing w:val="0"/>
          <w:sz w:val="24"/>
          <w:szCs w:val="24"/>
        </w:rPr>
        <w:t>破坏植被；</w:t>
      </w:r>
      <w:r>
        <w:rPr>
          <w:spacing w:val="0"/>
          <w:sz w:val="24"/>
          <w:szCs w:val="24"/>
        </w:rPr>
        <w:t>④</w:t>
      </w:r>
      <w:r>
        <w:rPr>
          <w:rFonts w:eastAsia="仿宋_GB2312"/>
          <w:spacing w:val="0"/>
          <w:sz w:val="24"/>
          <w:szCs w:val="24"/>
        </w:rPr>
        <w:t>对区域生态环境造成危害。</w:t>
      </w:r>
    </w:p>
    <w:p>
      <w:pPr>
        <w:pStyle w:val="4"/>
        <w:spacing w:before="120" w:after="120" w:line="360" w:lineRule="auto"/>
        <w:ind w:firstLine="0"/>
        <w:rPr>
          <w:rFonts w:ascii="Times New Roman" w:hAnsi="Times New Roman" w:eastAsia="仿宋_GB2312" w:cs="Times New Roman"/>
          <w:b/>
          <w:bCs/>
          <w:sz w:val="32"/>
          <w:szCs w:val="32"/>
        </w:rPr>
      </w:pPr>
      <w:bookmarkStart w:id="43" w:name="_Toc2899"/>
      <w:bookmarkStart w:id="44" w:name="_Toc8991"/>
      <w:r>
        <w:rPr>
          <w:rFonts w:ascii="Times New Roman" w:hAnsi="Times New Roman" w:eastAsia="仿宋_GB2312" w:cs="Times New Roman"/>
          <w:b/>
          <w:bCs/>
          <w:sz w:val="32"/>
          <w:szCs w:val="32"/>
        </w:rPr>
        <w:t>1.8水土保持措施布设成果</w:t>
      </w:r>
      <w:bookmarkEnd w:id="43"/>
      <w:bookmarkEnd w:id="44"/>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水土流失防治分区划分为采场、</w:t>
      </w:r>
      <w:r>
        <w:rPr>
          <w:rFonts w:hint="eastAsia" w:eastAsia="仿宋_GB2312"/>
          <w:sz w:val="24"/>
          <w:szCs w:val="24"/>
          <w:lang w:eastAsia="zh-CN"/>
        </w:rPr>
        <w:t>加工场地、场地道路、输电线路</w:t>
      </w:r>
      <w:r>
        <w:rPr>
          <w:rFonts w:hint="eastAsia" w:eastAsia="仿宋_GB2312"/>
          <w:sz w:val="24"/>
          <w:szCs w:val="24"/>
          <w:lang w:val="en-US" w:eastAsia="zh-CN"/>
        </w:rPr>
        <w:t>4</w:t>
      </w:r>
      <w:r>
        <w:rPr>
          <w:rFonts w:hint="eastAsia" w:ascii="Times New Roman" w:hAnsi="Times New Roman" w:eastAsia="仿宋_GB2312"/>
          <w:sz w:val="24"/>
          <w:szCs w:val="24"/>
        </w:rPr>
        <w:t>个防治分区。</w:t>
      </w:r>
    </w:p>
    <w:p>
      <w:pPr>
        <w:spacing w:line="360" w:lineRule="auto"/>
        <w:ind w:firstLine="540" w:firstLineChars="200"/>
        <w:rPr>
          <w:rFonts w:hint="eastAsia" w:ascii="Times New Roman" w:hAnsi="Times New Roman" w:eastAsia="仿宋_GB2312" w:cs="Times New Roman"/>
          <w:spacing w:val="15"/>
          <w:kern w:val="2"/>
          <w:sz w:val="24"/>
          <w:szCs w:val="28"/>
          <w:lang w:val="en-US" w:eastAsia="zh-CN" w:bidi="ar-SA"/>
        </w:rPr>
      </w:pPr>
      <w:r>
        <w:rPr>
          <w:rFonts w:hint="eastAsia" w:eastAsia="仿宋_GB2312" w:cs="Times New Roman"/>
          <w:spacing w:val="15"/>
          <w:kern w:val="2"/>
          <w:sz w:val="24"/>
          <w:szCs w:val="28"/>
          <w:lang w:val="en-US" w:eastAsia="zh-CN" w:bidi="ar-SA"/>
        </w:rPr>
        <w:t>1</w:t>
      </w:r>
      <w:r>
        <w:rPr>
          <w:rFonts w:hint="eastAsia" w:ascii="Times New Roman" w:hAnsi="Times New Roman" w:eastAsia="仿宋_GB2312" w:cs="Times New Roman"/>
          <w:spacing w:val="15"/>
          <w:kern w:val="2"/>
          <w:sz w:val="24"/>
          <w:szCs w:val="28"/>
          <w:lang w:val="en-US" w:eastAsia="zh-CN" w:bidi="ar-SA"/>
        </w:rPr>
        <w:t>、采场防治区</w:t>
      </w:r>
    </w:p>
    <w:p>
      <w:pPr>
        <w:spacing w:line="360" w:lineRule="auto"/>
        <w:ind w:firstLine="540" w:firstLineChars="200"/>
        <w:rPr>
          <w:rFonts w:hint="eastAsia" w:ascii="Times New Roman" w:hAnsi="Times New Roman" w:eastAsia="仿宋_GB2312" w:cs="Times New Roman"/>
          <w:spacing w:val="15"/>
          <w:kern w:val="2"/>
          <w:sz w:val="24"/>
          <w:szCs w:val="28"/>
          <w:lang w:val="en-US" w:eastAsia="zh-CN" w:bidi="ar-SA"/>
        </w:rPr>
      </w:pPr>
      <w:r>
        <w:rPr>
          <w:rFonts w:hint="eastAsia" w:ascii="Times New Roman" w:hAnsi="Times New Roman" w:eastAsia="仿宋_GB2312" w:cs="Times New Roman"/>
          <w:spacing w:val="15"/>
          <w:kern w:val="2"/>
          <w:sz w:val="24"/>
          <w:szCs w:val="28"/>
          <w:lang w:val="en-US" w:eastAsia="zh-CN" w:bidi="ar-SA"/>
        </w:rPr>
        <w:t>方案新增</w:t>
      </w:r>
    </w:p>
    <w:p>
      <w:pPr>
        <w:spacing w:line="360" w:lineRule="auto"/>
        <w:ind w:firstLine="540" w:firstLineChars="200"/>
        <w:rPr>
          <w:rFonts w:hint="default" w:ascii="Times New Roman" w:hAnsi="Times New Roman" w:eastAsia="仿宋_GB2312" w:cs="Times New Roman"/>
          <w:spacing w:val="15"/>
          <w:kern w:val="2"/>
          <w:sz w:val="24"/>
          <w:szCs w:val="28"/>
          <w:vertAlign w:val="baseline"/>
          <w:lang w:val="en-US" w:eastAsia="zh-CN" w:bidi="ar-SA"/>
        </w:rPr>
      </w:pPr>
      <w:r>
        <w:rPr>
          <w:rFonts w:hint="eastAsia" w:ascii="Times New Roman" w:hAnsi="Times New Roman" w:eastAsia="仿宋_GB2312" w:cs="Times New Roman"/>
          <w:spacing w:val="15"/>
          <w:kern w:val="2"/>
          <w:sz w:val="24"/>
          <w:szCs w:val="28"/>
          <w:lang w:val="en-US" w:eastAsia="zh-CN" w:bidi="ar-SA"/>
        </w:rPr>
        <w:t>工程措施——①排水沟，新增采场开采完毕后平台排水沟2346m：②截水沟，新增采场边界外截水沟</w:t>
      </w:r>
      <w:r>
        <w:rPr>
          <w:rFonts w:hint="eastAsia" w:eastAsia="仿宋_GB2312" w:cs="Times New Roman"/>
          <w:spacing w:val="15"/>
          <w:kern w:val="2"/>
          <w:sz w:val="24"/>
          <w:szCs w:val="28"/>
          <w:lang w:val="en-US" w:eastAsia="zh-CN" w:bidi="ar-SA"/>
        </w:rPr>
        <w:t>832</w:t>
      </w:r>
      <w:r>
        <w:rPr>
          <w:rFonts w:hint="eastAsia" w:ascii="Times New Roman" w:hAnsi="Times New Roman" w:eastAsia="仿宋_GB2312" w:cs="Times New Roman"/>
          <w:spacing w:val="15"/>
          <w:kern w:val="2"/>
          <w:sz w:val="24"/>
          <w:szCs w:val="28"/>
          <w:lang w:val="en-US" w:eastAsia="zh-CN" w:bidi="ar-SA"/>
        </w:rPr>
        <w:t>m；③平台覆土</w:t>
      </w:r>
      <w:r>
        <w:rPr>
          <w:rFonts w:hint="eastAsia" w:eastAsia="仿宋_GB2312" w:cs="Times New Roman"/>
          <w:spacing w:val="15"/>
          <w:kern w:val="2"/>
          <w:sz w:val="24"/>
          <w:szCs w:val="28"/>
          <w:lang w:val="en-US" w:eastAsia="zh-CN" w:bidi="ar-SA"/>
        </w:rPr>
        <w:t>0.47</w:t>
      </w:r>
      <w:r>
        <w:rPr>
          <w:rFonts w:hint="eastAsia" w:ascii="Times New Roman" w:hAnsi="Times New Roman" w:eastAsia="仿宋_GB2312" w:cs="Times New Roman"/>
          <w:spacing w:val="15"/>
          <w:kern w:val="2"/>
          <w:sz w:val="24"/>
          <w:szCs w:val="28"/>
          <w:lang w:val="en-US" w:eastAsia="zh-CN" w:bidi="ar-SA"/>
        </w:rPr>
        <w:t>万m³。</w:t>
      </w:r>
      <w:r>
        <w:rPr>
          <w:rFonts w:hint="eastAsia" w:eastAsia="仿宋_GB2312" w:cs="Times New Roman"/>
          <w:spacing w:val="15"/>
          <w:kern w:val="2"/>
          <w:sz w:val="24"/>
          <w:szCs w:val="28"/>
          <w:lang w:val="en-US" w:eastAsia="zh-CN" w:bidi="ar-SA"/>
        </w:rPr>
        <w:t>④沉砂池一座。⑤土地平</w:t>
      </w:r>
      <w:r>
        <w:rPr>
          <w:rFonts w:hint="eastAsia" w:ascii="Times New Roman" w:hAnsi="Times New Roman" w:eastAsia="仿宋_GB2312" w:cs="Times New Roman"/>
          <w:spacing w:val="15"/>
          <w:kern w:val="2"/>
          <w:sz w:val="24"/>
          <w:szCs w:val="28"/>
          <w:lang w:val="en-US" w:eastAsia="zh-CN" w:bidi="ar-SA"/>
        </w:rPr>
        <w:t>整1.51hm</w:t>
      </w:r>
      <w:r>
        <w:rPr>
          <w:rFonts w:hint="eastAsia" w:ascii="Times New Roman" w:hAnsi="Times New Roman" w:eastAsia="仿宋_GB2312" w:cs="Times New Roman"/>
          <w:spacing w:val="15"/>
          <w:kern w:val="2"/>
          <w:sz w:val="24"/>
          <w:szCs w:val="28"/>
          <w:vertAlign w:val="superscript"/>
          <w:lang w:val="en-US" w:eastAsia="zh-CN" w:bidi="ar-SA"/>
        </w:rPr>
        <w:t>2</w:t>
      </w:r>
      <w:r>
        <w:rPr>
          <w:rFonts w:hint="eastAsia" w:ascii="Times New Roman" w:hAnsi="Times New Roman" w:eastAsia="仿宋_GB2312" w:cs="Times New Roman"/>
          <w:spacing w:val="15"/>
          <w:kern w:val="2"/>
          <w:sz w:val="24"/>
          <w:szCs w:val="28"/>
          <w:lang w:val="en-US" w:eastAsia="zh-CN" w:bidi="ar-SA"/>
        </w:rPr>
        <w:t>。</w:t>
      </w:r>
    </w:p>
    <w:p>
      <w:pPr>
        <w:spacing w:line="360" w:lineRule="auto"/>
        <w:ind w:firstLine="540" w:firstLineChars="200"/>
        <w:rPr>
          <w:rFonts w:hint="eastAsia" w:ascii="Times New Roman" w:hAnsi="Times New Roman" w:eastAsia="仿宋_GB2312" w:cs="Times New Roman"/>
          <w:spacing w:val="15"/>
          <w:kern w:val="2"/>
          <w:sz w:val="24"/>
          <w:szCs w:val="28"/>
          <w:lang w:val="en-US" w:eastAsia="zh-CN" w:bidi="ar-SA"/>
        </w:rPr>
      </w:pPr>
      <w:r>
        <w:rPr>
          <w:rFonts w:hint="eastAsia" w:ascii="Times New Roman" w:hAnsi="Times New Roman" w:eastAsia="仿宋_GB2312" w:cs="Times New Roman"/>
          <w:spacing w:val="15"/>
          <w:kern w:val="2"/>
          <w:sz w:val="24"/>
          <w:szCs w:val="28"/>
          <w:lang w:val="en-US" w:eastAsia="zh-CN" w:bidi="ar-SA"/>
        </w:rPr>
        <w:t>植物措施——①采矿结束后，对平台进行绿化美化，绿化面积</w:t>
      </w:r>
      <w:r>
        <w:rPr>
          <w:rFonts w:hint="eastAsia" w:eastAsia="仿宋_GB2312" w:cs="Times New Roman"/>
          <w:spacing w:val="15"/>
          <w:kern w:val="2"/>
          <w:sz w:val="24"/>
          <w:szCs w:val="28"/>
          <w:lang w:val="en-US" w:eastAsia="zh-CN" w:bidi="ar-SA"/>
        </w:rPr>
        <w:t>2.26</w:t>
      </w:r>
      <w:r>
        <w:rPr>
          <w:rFonts w:hint="eastAsia" w:ascii="Times New Roman" w:hAnsi="Times New Roman" w:eastAsia="仿宋_GB2312" w:cs="Times New Roman"/>
          <w:spacing w:val="15"/>
          <w:kern w:val="2"/>
          <w:sz w:val="24"/>
          <w:szCs w:val="28"/>
          <w:lang w:val="en-US" w:eastAsia="zh-CN" w:bidi="ar-SA"/>
        </w:rPr>
        <w:t>hm²。</w:t>
      </w:r>
    </w:p>
    <w:p>
      <w:pPr>
        <w:pStyle w:val="2"/>
        <w:rPr>
          <w:rFonts w:hint="eastAsia" w:eastAsia="仿宋_GB2312" w:cs="Times New Roman"/>
          <w:spacing w:val="15"/>
          <w:kern w:val="2"/>
          <w:sz w:val="24"/>
          <w:szCs w:val="28"/>
          <w:lang w:val="en-US" w:eastAsia="zh-CN" w:bidi="ar-SA"/>
        </w:rPr>
      </w:pPr>
      <w:r>
        <w:rPr>
          <w:rFonts w:hint="eastAsia" w:eastAsia="仿宋_GB2312" w:cs="Times New Roman"/>
          <w:spacing w:val="15"/>
          <w:kern w:val="2"/>
          <w:sz w:val="24"/>
          <w:szCs w:val="28"/>
          <w:lang w:val="en-US" w:eastAsia="zh-CN" w:bidi="ar-SA"/>
        </w:rPr>
        <w:t>2、加工场地防治区</w:t>
      </w:r>
    </w:p>
    <w:p>
      <w:pPr>
        <w:pStyle w:val="2"/>
        <w:rPr>
          <w:rFonts w:hint="eastAsia" w:eastAsia="仿宋_GB2312" w:cs="Times New Roman"/>
          <w:spacing w:val="15"/>
          <w:kern w:val="2"/>
          <w:sz w:val="24"/>
          <w:szCs w:val="28"/>
          <w:lang w:val="en-US" w:eastAsia="zh-CN" w:bidi="ar-SA"/>
        </w:rPr>
      </w:pPr>
      <w:r>
        <w:rPr>
          <w:rFonts w:hint="eastAsia" w:eastAsia="仿宋_GB2312" w:cs="Times New Roman"/>
          <w:spacing w:val="15"/>
          <w:kern w:val="2"/>
          <w:sz w:val="24"/>
          <w:szCs w:val="28"/>
          <w:lang w:val="en-US" w:eastAsia="zh-CN" w:bidi="ar-SA"/>
        </w:rPr>
        <w:t>方案新增</w:t>
      </w:r>
    </w:p>
    <w:p>
      <w:pPr>
        <w:pStyle w:val="2"/>
        <w:rPr>
          <w:rFonts w:hint="default" w:eastAsia="仿宋_GB2312" w:cs="Times New Roman"/>
          <w:spacing w:val="15"/>
          <w:kern w:val="2"/>
          <w:sz w:val="24"/>
          <w:szCs w:val="28"/>
          <w:lang w:val="en-US" w:eastAsia="zh-CN" w:bidi="ar-SA"/>
        </w:rPr>
      </w:pPr>
      <w:r>
        <w:rPr>
          <w:rFonts w:hint="eastAsia" w:ascii="Times New Roman" w:hAnsi="Times New Roman" w:eastAsia="仿宋_GB2312" w:cs="Times New Roman"/>
          <w:spacing w:val="15"/>
          <w:kern w:val="2"/>
          <w:sz w:val="24"/>
          <w:szCs w:val="28"/>
          <w:lang w:val="en-US" w:eastAsia="zh-CN" w:bidi="ar-SA"/>
        </w:rPr>
        <w:t>工程措施——①排水沟，</w:t>
      </w:r>
      <w:r>
        <w:rPr>
          <w:rFonts w:hint="eastAsia" w:eastAsia="仿宋_GB2312" w:cs="Times New Roman"/>
          <w:spacing w:val="15"/>
          <w:kern w:val="2"/>
          <w:sz w:val="24"/>
          <w:szCs w:val="28"/>
          <w:lang w:val="en-US" w:eastAsia="zh-CN" w:bidi="ar-SA"/>
        </w:rPr>
        <w:t>新增加工场地周边</w:t>
      </w:r>
      <w:r>
        <w:rPr>
          <w:rFonts w:hint="eastAsia" w:ascii="Times New Roman" w:hAnsi="Times New Roman" w:eastAsia="仿宋_GB2312" w:cs="Times New Roman"/>
          <w:spacing w:val="15"/>
          <w:kern w:val="2"/>
          <w:sz w:val="24"/>
          <w:szCs w:val="28"/>
          <w:lang w:val="en-US" w:eastAsia="zh-CN" w:bidi="ar-SA"/>
        </w:rPr>
        <w:t>排水沟</w:t>
      </w:r>
      <w:r>
        <w:rPr>
          <w:rFonts w:hint="eastAsia" w:eastAsia="仿宋_GB2312" w:cs="Times New Roman"/>
          <w:spacing w:val="15"/>
          <w:kern w:val="2"/>
          <w:sz w:val="24"/>
          <w:szCs w:val="28"/>
          <w:lang w:val="en-US" w:eastAsia="zh-CN" w:bidi="ar-SA"/>
        </w:rPr>
        <w:t>323</w:t>
      </w:r>
      <w:r>
        <w:rPr>
          <w:rFonts w:hint="eastAsia" w:ascii="Times New Roman" w:hAnsi="Times New Roman" w:eastAsia="仿宋_GB2312" w:cs="Times New Roman"/>
          <w:spacing w:val="15"/>
          <w:kern w:val="2"/>
          <w:sz w:val="24"/>
          <w:szCs w:val="28"/>
          <w:lang w:val="en-US" w:eastAsia="zh-CN" w:bidi="ar-SA"/>
        </w:rPr>
        <w:t>m：</w:t>
      </w:r>
    </w:p>
    <w:p>
      <w:pPr>
        <w:spacing w:line="360" w:lineRule="auto"/>
        <w:ind w:firstLine="540" w:firstLineChars="200"/>
        <w:rPr>
          <w:rFonts w:hint="eastAsia" w:ascii="Times New Roman" w:hAnsi="Times New Roman" w:eastAsia="仿宋_GB2312" w:cs="Times New Roman"/>
          <w:spacing w:val="15"/>
          <w:kern w:val="2"/>
          <w:sz w:val="24"/>
          <w:szCs w:val="28"/>
          <w:lang w:val="en-US" w:eastAsia="zh-CN" w:bidi="ar-SA"/>
        </w:rPr>
      </w:pPr>
      <w:r>
        <w:rPr>
          <w:rFonts w:hint="eastAsia" w:eastAsia="仿宋_GB2312" w:cs="Times New Roman"/>
          <w:spacing w:val="15"/>
          <w:kern w:val="2"/>
          <w:sz w:val="24"/>
          <w:szCs w:val="28"/>
          <w:lang w:val="en-US" w:eastAsia="zh-CN" w:bidi="ar-SA"/>
        </w:rPr>
        <w:t>3</w:t>
      </w:r>
      <w:r>
        <w:rPr>
          <w:rFonts w:hint="eastAsia" w:ascii="Times New Roman" w:hAnsi="Times New Roman" w:eastAsia="仿宋_GB2312" w:cs="Times New Roman"/>
          <w:spacing w:val="15"/>
          <w:kern w:val="2"/>
          <w:sz w:val="24"/>
          <w:szCs w:val="28"/>
          <w:lang w:val="en-US" w:eastAsia="zh-CN" w:bidi="ar-SA"/>
        </w:rPr>
        <w:t>、</w:t>
      </w:r>
      <w:r>
        <w:rPr>
          <w:rFonts w:hint="eastAsia" w:eastAsia="仿宋_GB2312" w:cs="Times New Roman"/>
          <w:spacing w:val="15"/>
          <w:kern w:val="2"/>
          <w:sz w:val="24"/>
          <w:szCs w:val="28"/>
          <w:lang w:val="en-US" w:eastAsia="zh-CN" w:bidi="ar-SA"/>
        </w:rPr>
        <w:t>场地道路</w:t>
      </w:r>
      <w:r>
        <w:rPr>
          <w:rFonts w:hint="eastAsia" w:ascii="Times New Roman" w:hAnsi="Times New Roman" w:eastAsia="仿宋_GB2312" w:cs="Times New Roman"/>
          <w:spacing w:val="15"/>
          <w:kern w:val="2"/>
          <w:sz w:val="24"/>
          <w:szCs w:val="28"/>
          <w:lang w:val="en-US" w:eastAsia="zh-CN" w:bidi="ar-SA"/>
        </w:rPr>
        <w:t>防治区</w:t>
      </w:r>
    </w:p>
    <w:p>
      <w:pPr>
        <w:spacing w:line="360" w:lineRule="auto"/>
        <w:ind w:firstLine="540" w:firstLineChars="200"/>
        <w:rPr>
          <w:rFonts w:hint="eastAsia" w:eastAsia="仿宋_GB2312" w:cs="Times New Roman"/>
          <w:spacing w:val="15"/>
          <w:kern w:val="2"/>
          <w:sz w:val="24"/>
          <w:szCs w:val="28"/>
          <w:lang w:val="en-US" w:eastAsia="zh-CN" w:bidi="ar-SA"/>
        </w:rPr>
      </w:pPr>
      <w:r>
        <w:rPr>
          <w:rFonts w:hint="eastAsia" w:eastAsia="仿宋_GB2312" w:cs="Times New Roman"/>
          <w:spacing w:val="15"/>
          <w:kern w:val="2"/>
          <w:sz w:val="24"/>
          <w:szCs w:val="28"/>
          <w:lang w:val="en-US" w:eastAsia="zh-CN" w:bidi="ar-SA"/>
        </w:rPr>
        <w:t>方案新增</w:t>
      </w:r>
    </w:p>
    <w:p>
      <w:pPr>
        <w:spacing w:line="360" w:lineRule="auto"/>
        <w:ind w:firstLine="540" w:firstLineChars="200"/>
        <w:rPr>
          <w:rFonts w:hint="eastAsia" w:ascii="Times New Roman" w:hAnsi="Times New Roman" w:eastAsia="仿宋_GB2312" w:cs="Times New Roman"/>
          <w:spacing w:val="15"/>
          <w:kern w:val="2"/>
          <w:sz w:val="24"/>
          <w:szCs w:val="28"/>
          <w:lang w:val="en-US" w:eastAsia="zh-CN" w:bidi="ar-SA"/>
        </w:rPr>
      </w:pPr>
      <w:r>
        <w:rPr>
          <w:rFonts w:hint="eastAsia" w:ascii="Times New Roman" w:hAnsi="Times New Roman" w:eastAsia="仿宋_GB2312" w:cs="Times New Roman"/>
          <w:spacing w:val="15"/>
          <w:kern w:val="2"/>
          <w:sz w:val="24"/>
          <w:szCs w:val="28"/>
          <w:lang w:val="en-US" w:eastAsia="zh-CN" w:bidi="ar-SA"/>
        </w:rPr>
        <w:t>工程措施——①排水沟，新增</w:t>
      </w:r>
      <w:r>
        <w:rPr>
          <w:rFonts w:hint="eastAsia" w:eastAsia="仿宋_GB2312" w:cs="Times New Roman"/>
          <w:spacing w:val="15"/>
          <w:kern w:val="2"/>
          <w:sz w:val="24"/>
          <w:szCs w:val="28"/>
          <w:lang w:val="en-US" w:eastAsia="zh-CN" w:bidi="ar-SA"/>
        </w:rPr>
        <w:t>场地道路</w:t>
      </w:r>
      <w:r>
        <w:rPr>
          <w:rFonts w:hint="eastAsia" w:ascii="Times New Roman" w:hAnsi="Times New Roman" w:eastAsia="仿宋_GB2312" w:cs="Times New Roman"/>
          <w:spacing w:val="15"/>
          <w:kern w:val="2"/>
          <w:sz w:val="24"/>
          <w:szCs w:val="28"/>
          <w:lang w:val="en-US" w:eastAsia="zh-CN" w:bidi="ar-SA"/>
        </w:rPr>
        <w:t>一侧排水沟</w:t>
      </w:r>
      <w:r>
        <w:rPr>
          <w:rFonts w:hint="eastAsia" w:eastAsia="仿宋_GB2312" w:cs="Times New Roman"/>
          <w:spacing w:val="15"/>
          <w:kern w:val="2"/>
          <w:sz w:val="24"/>
          <w:szCs w:val="28"/>
          <w:lang w:val="en-US" w:eastAsia="zh-CN" w:bidi="ar-SA"/>
        </w:rPr>
        <w:t>2132</w:t>
      </w:r>
      <w:r>
        <w:rPr>
          <w:rFonts w:hint="eastAsia" w:ascii="Times New Roman" w:hAnsi="Times New Roman" w:eastAsia="仿宋_GB2312" w:cs="Times New Roman"/>
          <w:spacing w:val="15"/>
          <w:kern w:val="2"/>
          <w:sz w:val="24"/>
          <w:szCs w:val="28"/>
          <w:lang w:val="en-US" w:eastAsia="zh-CN" w:bidi="ar-SA"/>
        </w:rPr>
        <w:t>m：</w:t>
      </w:r>
    </w:p>
    <w:p>
      <w:pPr>
        <w:spacing w:line="360" w:lineRule="auto"/>
        <w:ind w:firstLine="540" w:firstLineChars="200"/>
        <w:rPr>
          <w:rFonts w:hint="eastAsia" w:eastAsia="仿宋_GB2312" w:cs="Times New Roman"/>
          <w:spacing w:val="15"/>
          <w:kern w:val="2"/>
          <w:sz w:val="24"/>
          <w:szCs w:val="28"/>
          <w:lang w:val="en-US" w:eastAsia="zh-CN" w:bidi="ar-SA"/>
        </w:rPr>
      </w:pPr>
      <w:r>
        <w:rPr>
          <w:rFonts w:hint="eastAsia" w:eastAsia="仿宋_GB2312" w:cs="Times New Roman"/>
          <w:spacing w:val="15"/>
          <w:kern w:val="2"/>
          <w:sz w:val="24"/>
          <w:szCs w:val="28"/>
          <w:lang w:val="en-US" w:eastAsia="zh-CN" w:bidi="ar-SA"/>
        </w:rPr>
        <w:t>4、输电线路防治区</w:t>
      </w:r>
    </w:p>
    <w:p>
      <w:pPr>
        <w:pStyle w:val="2"/>
        <w:rPr>
          <w:rFonts w:hint="default"/>
          <w:lang w:val="en-US" w:eastAsia="zh-CN"/>
        </w:rPr>
      </w:pPr>
      <w:r>
        <w:rPr>
          <w:rFonts w:hint="default" w:ascii="Times New Roman" w:hAnsi="Times New Roman" w:eastAsia="仿宋_GB2312" w:cs="Times New Roman"/>
          <w:spacing w:val="15"/>
          <w:kern w:val="2"/>
          <w:sz w:val="24"/>
          <w:szCs w:val="28"/>
          <w:lang w:val="en-US" w:eastAsia="zh-CN" w:bidi="ar-SA"/>
        </w:rPr>
        <w:t>输电线路已建成多年，施工扰动的地面已恢复植被，无需新增措施</w:t>
      </w:r>
      <w:r>
        <w:rPr>
          <w:rFonts w:hint="default"/>
          <w:lang w:val="en-US" w:eastAsia="zh-CN"/>
        </w:rPr>
        <w:t>。</w:t>
      </w:r>
    </w:p>
    <w:p>
      <w:pPr>
        <w:spacing w:line="360" w:lineRule="auto"/>
        <w:ind w:firstLine="480" w:firstLineChars="200"/>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rPr>
        <w:t>水土保持措施主要包括工程措施</w:t>
      </w:r>
      <w:r>
        <w:rPr>
          <w:rFonts w:hint="eastAsia" w:ascii="Times New Roman" w:hAnsi="Times New Roman" w:eastAsia="仿宋_GB2312" w:cs="Times New Roman"/>
          <w:sz w:val="24"/>
          <w:szCs w:val="24"/>
          <w:lang w:eastAsia="zh-CN"/>
        </w:rPr>
        <w:t>和</w:t>
      </w:r>
      <w:r>
        <w:rPr>
          <w:rFonts w:hint="eastAsia" w:ascii="Times New Roman" w:hAnsi="Times New Roman" w:eastAsia="仿宋_GB2312" w:cs="Times New Roman"/>
          <w:sz w:val="24"/>
          <w:szCs w:val="24"/>
        </w:rPr>
        <w:t>植物措施，主要工程量有：排水沟</w:t>
      </w:r>
      <w:r>
        <w:rPr>
          <w:rFonts w:hint="eastAsia" w:eastAsia="仿宋_GB2312" w:cs="Times New Roman"/>
          <w:sz w:val="24"/>
          <w:szCs w:val="24"/>
          <w:lang w:val="en-US" w:eastAsia="zh-CN"/>
        </w:rPr>
        <w:t>4801</w:t>
      </w:r>
      <w:r>
        <w:rPr>
          <w:rFonts w:hint="eastAsia" w:ascii="Times New Roman" w:hAnsi="Times New Roman" w:eastAsia="仿宋_GB2312" w:cs="Times New Roman"/>
          <w:sz w:val="24"/>
          <w:szCs w:val="24"/>
        </w:rPr>
        <w:t>m，</w:t>
      </w:r>
      <w:r>
        <w:rPr>
          <w:rFonts w:hint="eastAsia" w:ascii="Times New Roman" w:hAnsi="Times New Roman" w:eastAsia="仿宋_GB2312" w:cs="Times New Roman"/>
          <w:sz w:val="24"/>
          <w:szCs w:val="24"/>
          <w:lang w:eastAsia="zh-CN"/>
        </w:rPr>
        <w:t>截水沟</w:t>
      </w:r>
      <w:r>
        <w:rPr>
          <w:rFonts w:hint="eastAsia" w:eastAsia="仿宋_GB2312" w:cs="Times New Roman"/>
          <w:sz w:val="24"/>
          <w:szCs w:val="24"/>
          <w:lang w:val="en-US" w:eastAsia="zh-CN"/>
        </w:rPr>
        <w:t>832</w:t>
      </w:r>
      <w:r>
        <w:rPr>
          <w:rFonts w:hint="eastAsia" w:ascii="Times New Roman" w:hAnsi="Times New Roman" w:eastAsia="仿宋_GB2312" w:cs="Times New Roman"/>
          <w:sz w:val="24"/>
          <w:szCs w:val="24"/>
          <w:lang w:val="en-US" w:eastAsia="zh-CN"/>
        </w:rPr>
        <w:t>m，</w:t>
      </w:r>
      <w:r>
        <w:rPr>
          <w:rFonts w:hint="eastAsia" w:ascii="Times New Roman" w:hAnsi="Times New Roman" w:eastAsia="仿宋_GB2312"/>
          <w:sz w:val="24"/>
          <w:szCs w:val="24"/>
        </w:rPr>
        <w:t>绿化面积</w:t>
      </w:r>
      <w:r>
        <w:rPr>
          <w:rFonts w:hint="eastAsia" w:eastAsia="仿宋_GB2312"/>
          <w:sz w:val="24"/>
          <w:szCs w:val="24"/>
          <w:lang w:val="en-US" w:eastAsia="zh-CN"/>
        </w:rPr>
        <w:t>2.26</w:t>
      </w:r>
      <w:r>
        <w:rPr>
          <w:rFonts w:hint="eastAsia" w:ascii="Times New Roman" w:hAnsi="Times New Roman" w:eastAsia="仿宋_GB2312"/>
          <w:sz w:val="24"/>
          <w:szCs w:val="24"/>
        </w:rPr>
        <w:t>hm</w:t>
      </w:r>
      <w:r>
        <w:rPr>
          <w:rFonts w:hint="eastAsia" w:ascii="Times New Roman" w:hAnsi="Times New Roman" w:eastAsia="仿宋_GB2312" w:cs="Times New Roman"/>
          <w:sz w:val="24"/>
          <w:szCs w:val="24"/>
          <w:vertAlign w:val="superscript"/>
        </w:rPr>
        <w:t>2</w:t>
      </w: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pacing w:val="15"/>
          <w:kern w:val="2"/>
          <w:sz w:val="24"/>
          <w:szCs w:val="28"/>
          <w:lang w:val="en-US" w:eastAsia="zh-CN" w:bidi="ar-SA"/>
        </w:rPr>
        <w:t>覆土0.</w:t>
      </w:r>
      <w:r>
        <w:rPr>
          <w:rFonts w:hint="eastAsia" w:eastAsia="仿宋_GB2312" w:cs="Times New Roman"/>
          <w:spacing w:val="15"/>
          <w:kern w:val="2"/>
          <w:sz w:val="24"/>
          <w:szCs w:val="28"/>
          <w:lang w:val="en-US" w:eastAsia="zh-CN" w:bidi="ar-SA"/>
        </w:rPr>
        <w:t>47</w:t>
      </w:r>
      <w:r>
        <w:rPr>
          <w:rFonts w:hint="eastAsia" w:ascii="Times New Roman" w:hAnsi="Times New Roman" w:eastAsia="仿宋_GB2312" w:cs="Times New Roman"/>
          <w:spacing w:val="15"/>
          <w:kern w:val="2"/>
          <w:sz w:val="24"/>
          <w:szCs w:val="28"/>
          <w:lang w:val="en-US" w:eastAsia="zh-CN" w:bidi="ar-SA"/>
        </w:rPr>
        <w:t>万m³，</w:t>
      </w:r>
      <w:r>
        <w:rPr>
          <w:rFonts w:hint="eastAsia" w:eastAsia="仿宋_GB2312" w:cs="Times New Roman"/>
          <w:spacing w:val="15"/>
          <w:kern w:val="2"/>
          <w:sz w:val="24"/>
          <w:szCs w:val="28"/>
          <w:lang w:val="en-US" w:eastAsia="zh-CN" w:bidi="ar-SA"/>
        </w:rPr>
        <w:t>土地平</w:t>
      </w:r>
      <w:r>
        <w:rPr>
          <w:rFonts w:hint="eastAsia" w:ascii="Times New Roman" w:hAnsi="Times New Roman" w:eastAsia="仿宋_GB2312" w:cs="Times New Roman"/>
          <w:spacing w:val="15"/>
          <w:kern w:val="2"/>
          <w:sz w:val="24"/>
          <w:szCs w:val="28"/>
          <w:lang w:val="en-US" w:eastAsia="zh-CN" w:bidi="ar-SA"/>
        </w:rPr>
        <w:t>整1.51hm</w:t>
      </w:r>
      <w:r>
        <w:rPr>
          <w:rFonts w:hint="eastAsia" w:ascii="Times New Roman" w:hAnsi="Times New Roman" w:eastAsia="仿宋_GB2312" w:cs="Times New Roman"/>
          <w:spacing w:val="15"/>
          <w:kern w:val="2"/>
          <w:sz w:val="24"/>
          <w:szCs w:val="28"/>
          <w:vertAlign w:val="superscript"/>
          <w:lang w:val="en-US" w:eastAsia="zh-CN" w:bidi="ar-SA"/>
        </w:rPr>
        <w:t>2</w:t>
      </w:r>
      <w:r>
        <w:rPr>
          <w:rFonts w:hint="eastAsia" w:eastAsia="仿宋_GB2312" w:cs="Times New Roman"/>
          <w:spacing w:val="15"/>
          <w:kern w:val="2"/>
          <w:sz w:val="24"/>
          <w:szCs w:val="28"/>
          <w:lang w:val="en-US" w:eastAsia="zh-CN" w:bidi="ar-SA"/>
        </w:rPr>
        <w:t>，沉砂池一座</w:t>
      </w:r>
      <w:r>
        <w:rPr>
          <w:rFonts w:hint="eastAsia" w:ascii="Times New Roman" w:hAnsi="Times New Roman" w:eastAsia="仿宋_GB2312" w:cs="Times New Roman"/>
          <w:sz w:val="24"/>
          <w:szCs w:val="24"/>
          <w:lang w:val="en-US" w:eastAsia="zh-CN"/>
        </w:rPr>
        <w:t>。</w:t>
      </w:r>
    </w:p>
    <w:p>
      <w:pPr>
        <w:pStyle w:val="4"/>
        <w:spacing w:before="120" w:after="120" w:line="360" w:lineRule="auto"/>
        <w:ind w:firstLine="0"/>
        <w:rPr>
          <w:rFonts w:ascii="Times New Roman" w:hAnsi="Times New Roman" w:eastAsia="仿宋_GB2312" w:cs="Times New Roman"/>
          <w:b/>
          <w:bCs/>
          <w:sz w:val="32"/>
          <w:szCs w:val="32"/>
        </w:rPr>
      </w:pPr>
      <w:bookmarkStart w:id="45" w:name="_Toc8062"/>
      <w:bookmarkStart w:id="46" w:name="_Toc32078"/>
      <w:r>
        <w:rPr>
          <w:rFonts w:ascii="Times New Roman" w:hAnsi="Times New Roman" w:eastAsia="仿宋_GB2312" w:cs="Times New Roman"/>
          <w:b/>
          <w:bCs/>
          <w:sz w:val="32"/>
          <w:szCs w:val="32"/>
        </w:rPr>
        <w:t>1.</w:t>
      </w:r>
      <w:r>
        <w:rPr>
          <w:rFonts w:hint="eastAsia" w:ascii="Times New Roman" w:hAnsi="Times New Roman" w:eastAsia="仿宋_GB2312" w:cs="Times New Roman"/>
          <w:b/>
          <w:bCs/>
          <w:sz w:val="32"/>
          <w:szCs w:val="32"/>
          <w:lang w:val="en-US" w:eastAsia="zh-CN"/>
        </w:rPr>
        <w:t>9</w:t>
      </w:r>
      <w:r>
        <w:rPr>
          <w:rFonts w:ascii="Times New Roman" w:hAnsi="Times New Roman" w:eastAsia="仿宋_GB2312" w:cs="Times New Roman"/>
          <w:b/>
          <w:bCs/>
          <w:sz w:val="32"/>
          <w:szCs w:val="32"/>
        </w:rPr>
        <w:t>水土保持投资及效益分析成果</w:t>
      </w:r>
      <w:bookmarkEnd w:id="45"/>
      <w:bookmarkEnd w:id="46"/>
    </w:p>
    <w:p>
      <w:pPr>
        <w:widowControl/>
        <w:spacing w:line="360" w:lineRule="auto"/>
        <w:ind w:firstLine="480" w:firstLineChars="200"/>
        <w:jc w:val="left"/>
        <w:rPr>
          <w:rFonts w:ascii="Times New Roman" w:hAnsi="Times New Roman" w:eastAsia="仿宋_GB2312"/>
          <w:szCs w:val="21"/>
        </w:rPr>
      </w:pPr>
      <w:r>
        <w:rPr>
          <w:rFonts w:hint="eastAsia" w:ascii="Times New Roman" w:hAnsi="Times New Roman" w:eastAsia="仿宋_GB2312"/>
          <w:szCs w:val="21"/>
        </w:rPr>
        <w:t>项目水土保持总投资171.68万元（全部为方案新增）。总投资中工程措施费13</w:t>
      </w:r>
      <w:r>
        <w:rPr>
          <w:rFonts w:hint="eastAsia" w:eastAsia="仿宋_GB2312"/>
          <w:szCs w:val="21"/>
          <w:lang w:val="en-US" w:eastAsia="zh-CN"/>
        </w:rPr>
        <w:t>7</w:t>
      </w:r>
      <w:r>
        <w:rPr>
          <w:rFonts w:hint="eastAsia" w:ascii="Times New Roman" w:hAnsi="Times New Roman" w:eastAsia="仿宋_GB2312"/>
          <w:szCs w:val="21"/>
        </w:rPr>
        <w:t>万元、植物措施费2.66万元、独立费用 25.65万元（其中监测费5.00 万元，监理费 4.00 万元）、基本预备费4.9</w:t>
      </w:r>
      <w:r>
        <w:rPr>
          <w:rFonts w:hint="eastAsia" w:eastAsia="仿宋_GB2312"/>
          <w:szCs w:val="21"/>
          <w:lang w:val="en-US" w:eastAsia="zh-CN"/>
        </w:rPr>
        <w:t>6</w:t>
      </w:r>
      <w:r>
        <w:rPr>
          <w:rFonts w:hint="eastAsia" w:ascii="Times New Roman" w:hAnsi="Times New Roman" w:eastAsia="仿宋_GB2312"/>
          <w:szCs w:val="21"/>
        </w:rPr>
        <w:t>万元、水土保持补偿费1.41万元。</w:t>
      </w:r>
    </w:p>
    <w:p>
      <w:pPr>
        <w:spacing w:line="360" w:lineRule="auto"/>
        <w:ind w:firstLine="480" w:firstLineChars="200"/>
        <w:rPr>
          <w:rFonts w:ascii="Times New Roman" w:hAnsi="Times New Roman" w:eastAsia="仿宋_GB2312"/>
          <w:color w:val="auto"/>
          <w:sz w:val="24"/>
          <w:szCs w:val="24"/>
        </w:rPr>
      </w:pPr>
      <w:r>
        <w:rPr>
          <w:rFonts w:ascii="Times New Roman" w:hAnsi="Times New Roman" w:eastAsia="仿宋_GB2312"/>
          <w:color w:val="auto"/>
          <w:sz w:val="24"/>
          <w:szCs w:val="24"/>
        </w:rPr>
        <w:t>本方案水保措施实施后，设计水平年</w:t>
      </w:r>
      <w:r>
        <w:rPr>
          <w:rFonts w:hint="eastAsia" w:ascii="Times New Roman" w:hAnsi="Times New Roman" w:eastAsia="仿宋_GB2312"/>
          <w:color w:val="auto"/>
          <w:sz w:val="24"/>
          <w:szCs w:val="24"/>
        </w:rPr>
        <w:t>水土流失总治理度达到</w:t>
      </w:r>
      <w:r>
        <w:rPr>
          <w:rFonts w:hint="eastAsia" w:ascii="Times New Roman" w:hAnsi="Times New Roman" w:eastAsia="仿宋_GB2312"/>
          <w:color w:val="auto"/>
          <w:sz w:val="24"/>
          <w:szCs w:val="24"/>
          <w:lang w:val="en-US" w:eastAsia="zh-CN"/>
        </w:rPr>
        <w:t>9</w:t>
      </w:r>
      <w:r>
        <w:rPr>
          <w:rFonts w:hint="eastAsia" w:eastAsia="仿宋_GB2312"/>
          <w:color w:val="auto"/>
          <w:sz w:val="24"/>
          <w:szCs w:val="24"/>
          <w:lang w:val="en-US" w:eastAsia="zh-CN"/>
        </w:rPr>
        <w:t>8.86</w:t>
      </w:r>
      <w:r>
        <w:rPr>
          <w:rFonts w:hint="eastAsia" w:ascii="Times New Roman" w:hAnsi="Times New Roman" w:eastAsia="仿宋_GB2312"/>
          <w:color w:val="auto"/>
          <w:sz w:val="24"/>
          <w:szCs w:val="24"/>
        </w:rPr>
        <w:t>%，</w:t>
      </w:r>
      <w:r>
        <w:rPr>
          <w:rFonts w:hint="eastAsia" w:ascii="Times New Roman" w:hAnsi="Times New Roman" w:eastAsia="仿宋_GB2312"/>
          <w:color w:val="auto"/>
          <w:sz w:val="24"/>
          <w:szCs w:val="24"/>
          <w:lang w:eastAsia="zh-CN"/>
        </w:rPr>
        <w:t>项目不具备表土剥离价值，</w:t>
      </w:r>
      <w:r>
        <w:rPr>
          <w:rFonts w:hint="eastAsia" w:ascii="Times New Roman" w:hAnsi="Times New Roman" w:eastAsia="仿宋_GB2312"/>
          <w:color w:val="auto"/>
          <w:sz w:val="24"/>
          <w:szCs w:val="24"/>
        </w:rPr>
        <w:t>表土保护率</w:t>
      </w:r>
      <w:r>
        <w:rPr>
          <w:rFonts w:hint="eastAsia" w:ascii="Times New Roman" w:hAnsi="Times New Roman" w:eastAsia="仿宋_GB2312"/>
          <w:color w:val="auto"/>
          <w:sz w:val="24"/>
          <w:szCs w:val="24"/>
          <w:lang w:eastAsia="zh-CN"/>
        </w:rPr>
        <w:t>不进行统计</w:t>
      </w:r>
      <w:r>
        <w:rPr>
          <w:rFonts w:hint="eastAsia" w:ascii="Times New Roman" w:hAnsi="Times New Roman" w:eastAsia="仿宋_GB2312"/>
          <w:color w:val="auto"/>
          <w:sz w:val="24"/>
          <w:szCs w:val="24"/>
        </w:rPr>
        <w:t>，渣土防护率可达99%</w:t>
      </w:r>
      <w:r>
        <w:rPr>
          <w:rFonts w:hint="eastAsia" w:eastAsia="仿宋_GB2312"/>
          <w:color w:val="auto"/>
          <w:sz w:val="24"/>
          <w:szCs w:val="24"/>
          <w:lang w:eastAsia="zh-CN"/>
        </w:rPr>
        <w:t>，</w:t>
      </w:r>
      <w:r>
        <w:rPr>
          <w:rFonts w:hint="eastAsia" w:ascii="Times New Roman" w:hAnsi="Times New Roman" w:eastAsia="仿宋_GB2312"/>
          <w:color w:val="auto"/>
          <w:sz w:val="24"/>
          <w:szCs w:val="24"/>
        </w:rPr>
        <w:t>土壤流失控制比为</w:t>
      </w:r>
      <w:r>
        <w:rPr>
          <w:rFonts w:hint="eastAsia" w:ascii="Times New Roman" w:hAnsi="Times New Roman" w:eastAsia="仿宋_GB2312"/>
          <w:color w:val="auto"/>
          <w:sz w:val="24"/>
          <w:szCs w:val="24"/>
          <w:lang w:val="en-US" w:eastAsia="zh-CN"/>
        </w:rPr>
        <w:t>1</w:t>
      </w:r>
      <w:r>
        <w:rPr>
          <w:rFonts w:hint="eastAsia" w:ascii="Times New Roman" w:hAnsi="Times New Roman" w:eastAsia="仿宋_GB2312"/>
          <w:color w:val="auto"/>
          <w:sz w:val="24"/>
          <w:szCs w:val="24"/>
        </w:rPr>
        <w:t>，林草植被恢复率为9</w:t>
      </w:r>
      <w:r>
        <w:rPr>
          <w:rFonts w:hint="eastAsia" w:ascii="Times New Roman" w:hAnsi="Times New Roman" w:eastAsia="仿宋_GB2312"/>
          <w:color w:val="auto"/>
          <w:sz w:val="24"/>
          <w:szCs w:val="24"/>
          <w:lang w:val="en-US" w:eastAsia="zh-CN"/>
        </w:rPr>
        <w:t>9.</w:t>
      </w:r>
      <w:r>
        <w:rPr>
          <w:rFonts w:hint="eastAsia" w:eastAsia="仿宋_GB2312"/>
          <w:color w:val="auto"/>
          <w:sz w:val="24"/>
          <w:szCs w:val="24"/>
          <w:lang w:val="en-US" w:eastAsia="zh-CN"/>
        </w:rPr>
        <w:t>55</w:t>
      </w:r>
      <w:r>
        <w:rPr>
          <w:rFonts w:hint="eastAsia" w:ascii="Times New Roman" w:hAnsi="Times New Roman" w:eastAsia="仿宋_GB2312"/>
          <w:color w:val="auto"/>
          <w:sz w:val="24"/>
          <w:szCs w:val="24"/>
        </w:rPr>
        <w:t>%，林草覆盖率为</w:t>
      </w:r>
      <w:r>
        <w:rPr>
          <w:rFonts w:hint="eastAsia" w:ascii="Times New Roman" w:hAnsi="Times New Roman" w:eastAsia="仿宋_GB2312"/>
          <w:color w:val="auto"/>
          <w:sz w:val="24"/>
          <w:szCs w:val="24"/>
          <w:lang w:val="en-US" w:eastAsia="zh-CN"/>
        </w:rPr>
        <w:t>6</w:t>
      </w:r>
      <w:r>
        <w:rPr>
          <w:rFonts w:hint="eastAsia" w:eastAsia="仿宋_GB2312"/>
          <w:color w:val="auto"/>
          <w:sz w:val="24"/>
          <w:szCs w:val="24"/>
          <w:lang w:val="en-US" w:eastAsia="zh-CN"/>
        </w:rPr>
        <w:t>4.39</w:t>
      </w:r>
      <w:r>
        <w:rPr>
          <w:rFonts w:hint="eastAsia" w:ascii="Times New Roman" w:hAnsi="Times New Roman" w:eastAsia="仿宋_GB2312"/>
          <w:color w:val="auto"/>
          <w:sz w:val="24"/>
          <w:szCs w:val="24"/>
        </w:rPr>
        <w:t>%。</w:t>
      </w:r>
    </w:p>
    <w:p>
      <w:pPr>
        <w:pStyle w:val="4"/>
        <w:spacing w:before="120" w:after="120" w:line="360" w:lineRule="auto"/>
        <w:ind w:firstLine="0"/>
        <w:rPr>
          <w:rFonts w:ascii="Times New Roman" w:hAnsi="Times New Roman" w:eastAsia="仿宋_GB2312" w:cs="Times New Roman"/>
          <w:b/>
          <w:bCs/>
          <w:sz w:val="32"/>
          <w:szCs w:val="32"/>
        </w:rPr>
      </w:pPr>
      <w:bookmarkStart w:id="47" w:name="_Toc1134"/>
      <w:bookmarkStart w:id="48" w:name="_Toc14219"/>
      <w:r>
        <w:rPr>
          <w:rFonts w:ascii="Times New Roman" w:hAnsi="Times New Roman" w:eastAsia="仿宋_GB2312" w:cs="Times New Roman"/>
          <w:b/>
          <w:bCs/>
          <w:sz w:val="32"/>
          <w:szCs w:val="32"/>
        </w:rPr>
        <w:t>1.1</w:t>
      </w:r>
      <w:r>
        <w:rPr>
          <w:rFonts w:hint="eastAsia" w:ascii="Times New Roman" w:hAnsi="Times New Roman" w:eastAsia="仿宋_GB2312" w:cs="Times New Roman"/>
          <w:b/>
          <w:bCs/>
          <w:sz w:val="32"/>
          <w:szCs w:val="32"/>
          <w:lang w:val="en-US" w:eastAsia="zh-CN"/>
        </w:rPr>
        <w:t>0</w:t>
      </w:r>
      <w:r>
        <w:rPr>
          <w:rFonts w:ascii="Times New Roman" w:hAnsi="Times New Roman" w:eastAsia="仿宋_GB2312" w:cs="Times New Roman"/>
          <w:b/>
          <w:bCs/>
          <w:sz w:val="32"/>
          <w:szCs w:val="32"/>
        </w:rPr>
        <w:t>结论</w:t>
      </w:r>
      <w:bookmarkEnd w:id="47"/>
      <w:bookmarkEnd w:id="48"/>
    </w:p>
    <w:p>
      <w:pPr>
        <w:spacing w:line="360" w:lineRule="auto"/>
        <w:ind w:firstLine="482" w:firstLineChars="200"/>
        <w:rPr>
          <w:rFonts w:ascii="Times New Roman" w:hAnsi="Times New Roman" w:eastAsia="仿宋_GB2312"/>
          <w:b/>
          <w:sz w:val="24"/>
          <w:szCs w:val="24"/>
        </w:rPr>
      </w:pPr>
      <w:r>
        <w:rPr>
          <w:rFonts w:ascii="Times New Roman" w:hAnsi="Times New Roman" w:eastAsia="仿宋_GB2312"/>
          <w:b/>
          <w:sz w:val="24"/>
          <w:szCs w:val="24"/>
        </w:rPr>
        <w:t>1、结论</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该项目符合《生产建设项目水土保持技术标准》（GB50433-2018）中对主体工程选址（线）、建设方案及布局的约束性规定、符合《中华人民共和国水土保持法》（2011年3月）中对主体工程选址限制性规定、符合《水利部关于严格开发建设项目水土保持方案审查审批工作的通知》（水保[2007]184号文）的有关规定，不存在制约性因素，满足水土保持要求。</w:t>
      </w:r>
    </w:p>
    <w:p>
      <w:pPr>
        <w:spacing w:line="360" w:lineRule="auto"/>
        <w:ind w:firstLine="480" w:firstLineChars="200"/>
        <w:rPr>
          <w:rFonts w:ascii="Times New Roman" w:hAnsi="Times New Roman" w:eastAsia="仿宋_GB2312"/>
          <w:sz w:val="24"/>
          <w:szCs w:val="24"/>
        </w:rPr>
      </w:pPr>
      <w:r>
        <w:rPr>
          <w:rFonts w:hint="eastAsia" w:ascii="Times New Roman" w:hAnsi="Times New Roman" w:eastAsia="仿宋_GB2312"/>
          <w:sz w:val="24"/>
          <w:szCs w:val="24"/>
          <w:lang w:eastAsia="zh-CN"/>
        </w:rPr>
        <w:t>项目方案新增的水保措施</w:t>
      </w:r>
      <w:r>
        <w:rPr>
          <w:rFonts w:ascii="Times New Roman" w:hAnsi="Times New Roman" w:eastAsia="仿宋_GB2312"/>
          <w:sz w:val="24"/>
          <w:szCs w:val="24"/>
        </w:rPr>
        <w:t>，可形成有效的水土保持防护体系，从水土保持角度分析，项目可行。</w:t>
      </w:r>
    </w:p>
    <w:p>
      <w:pPr>
        <w:spacing w:line="360" w:lineRule="auto"/>
        <w:ind w:firstLine="480" w:firstLineChars="200"/>
        <w:rPr>
          <w:rFonts w:hint="eastAsia" w:ascii="Times New Roman" w:hAnsi="Times New Roman" w:eastAsia="仿宋_GB2312"/>
          <w:color w:val="auto"/>
          <w:sz w:val="24"/>
          <w:szCs w:val="24"/>
        </w:rPr>
      </w:pPr>
      <w:r>
        <w:rPr>
          <w:rFonts w:ascii="Times New Roman" w:hAnsi="Times New Roman" w:eastAsia="仿宋_GB2312"/>
          <w:color w:val="auto"/>
          <w:sz w:val="24"/>
          <w:szCs w:val="24"/>
        </w:rPr>
        <w:t>本方案水保措施实施后，设计水平年</w:t>
      </w:r>
      <w:r>
        <w:rPr>
          <w:rFonts w:hint="eastAsia" w:ascii="Times New Roman" w:hAnsi="Times New Roman" w:eastAsia="仿宋_GB2312"/>
          <w:color w:val="auto"/>
          <w:sz w:val="24"/>
          <w:szCs w:val="24"/>
        </w:rPr>
        <w:t>水土流失总治理度达到</w:t>
      </w:r>
      <w:r>
        <w:rPr>
          <w:rFonts w:hint="eastAsia" w:ascii="Times New Roman" w:hAnsi="Times New Roman" w:eastAsia="仿宋_GB2312"/>
          <w:color w:val="auto"/>
          <w:sz w:val="24"/>
          <w:szCs w:val="24"/>
          <w:lang w:val="en-US" w:eastAsia="zh-CN"/>
        </w:rPr>
        <w:t>9</w:t>
      </w:r>
      <w:r>
        <w:rPr>
          <w:rFonts w:hint="eastAsia" w:eastAsia="仿宋_GB2312"/>
          <w:color w:val="auto"/>
          <w:sz w:val="24"/>
          <w:szCs w:val="24"/>
          <w:lang w:val="en-US" w:eastAsia="zh-CN"/>
        </w:rPr>
        <w:t>8.86</w:t>
      </w:r>
      <w:r>
        <w:rPr>
          <w:rFonts w:hint="eastAsia" w:ascii="Times New Roman" w:hAnsi="Times New Roman" w:eastAsia="仿宋_GB2312"/>
          <w:color w:val="auto"/>
          <w:sz w:val="24"/>
          <w:szCs w:val="24"/>
        </w:rPr>
        <w:t>%，</w:t>
      </w:r>
      <w:r>
        <w:rPr>
          <w:rFonts w:hint="eastAsia" w:ascii="Times New Roman" w:hAnsi="Times New Roman" w:eastAsia="仿宋_GB2312"/>
          <w:color w:val="auto"/>
          <w:sz w:val="24"/>
          <w:szCs w:val="24"/>
          <w:lang w:eastAsia="zh-CN"/>
        </w:rPr>
        <w:t>项目不具备表土剥离价值，</w:t>
      </w:r>
      <w:r>
        <w:rPr>
          <w:rFonts w:hint="eastAsia" w:ascii="Times New Roman" w:hAnsi="Times New Roman" w:eastAsia="仿宋_GB2312"/>
          <w:color w:val="auto"/>
          <w:sz w:val="24"/>
          <w:szCs w:val="24"/>
        </w:rPr>
        <w:t>表土保护率</w:t>
      </w:r>
      <w:r>
        <w:rPr>
          <w:rFonts w:hint="eastAsia" w:ascii="Times New Roman" w:hAnsi="Times New Roman" w:eastAsia="仿宋_GB2312"/>
          <w:color w:val="auto"/>
          <w:sz w:val="24"/>
          <w:szCs w:val="24"/>
          <w:lang w:eastAsia="zh-CN"/>
        </w:rPr>
        <w:t>不进行统计</w:t>
      </w:r>
      <w:r>
        <w:rPr>
          <w:rFonts w:hint="eastAsia" w:ascii="Times New Roman" w:hAnsi="Times New Roman" w:eastAsia="仿宋_GB2312"/>
          <w:color w:val="auto"/>
          <w:sz w:val="24"/>
          <w:szCs w:val="24"/>
        </w:rPr>
        <w:t>，渣土防护率可达99%</w:t>
      </w:r>
      <w:r>
        <w:rPr>
          <w:rFonts w:hint="eastAsia" w:eastAsia="仿宋_GB2312"/>
          <w:color w:val="auto"/>
          <w:sz w:val="24"/>
          <w:szCs w:val="24"/>
          <w:lang w:eastAsia="zh-CN"/>
        </w:rPr>
        <w:t>，</w:t>
      </w:r>
      <w:r>
        <w:rPr>
          <w:rFonts w:hint="eastAsia" w:ascii="Times New Roman" w:hAnsi="Times New Roman" w:eastAsia="仿宋_GB2312"/>
          <w:color w:val="auto"/>
          <w:sz w:val="24"/>
          <w:szCs w:val="24"/>
        </w:rPr>
        <w:t>土壤流失控制比为</w:t>
      </w:r>
      <w:r>
        <w:rPr>
          <w:rFonts w:hint="eastAsia" w:ascii="Times New Roman" w:hAnsi="Times New Roman" w:eastAsia="仿宋_GB2312"/>
          <w:color w:val="auto"/>
          <w:sz w:val="24"/>
          <w:szCs w:val="24"/>
          <w:lang w:val="en-US" w:eastAsia="zh-CN"/>
        </w:rPr>
        <w:t>1</w:t>
      </w:r>
      <w:r>
        <w:rPr>
          <w:rFonts w:hint="eastAsia" w:ascii="Times New Roman" w:hAnsi="Times New Roman" w:eastAsia="仿宋_GB2312"/>
          <w:color w:val="auto"/>
          <w:sz w:val="24"/>
          <w:szCs w:val="24"/>
        </w:rPr>
        <w:t>，林草植被恢复率为9</w:t>
      </w:r>
      <w:r>
        <w:rPr>
          <w:rFonts w:hint="eastAsia" w:ascii="Times New Roman" w:hAnsi="Times New Roman" w:eastAsia="仿宋_GB2312"/>
          <w:color w:val="auto"/>
          <w:sz w:val="24"/>
          <w:szCs w:val="24"/>
          <w:lang w:val="en-US" w:eastAsia="zh-CN"/>
        </w:rPr>
        <w:t>9.</w:t>
      </w:r>
      <w:r>
        <w:rPr>
          <w:rFonts w:hint="eastAsia" w:eastAsia="仿宋_GB2312"/>
          <w:color w:val="auto"/>
          <w:sz w:val="24"/>
          <w:szCs w:val="24"/>
          <w:lang w:val="en-US" w:eastAsia="zh-CN"/>
        </w:rPr>
        <w:t>55</w:t>
      </w:r>
      <w:r>
        <w:rPr>
          <w:rFonts w:hint="eastAsia" w:ascii="Times New Roman" w:hAnsi="Times New Roman" w:eastAsia="仿宋_GB2312"/>
          <w:color w:val="auto"/>
          <w:sz w:val="24"/>
          <w:szCs w:val="24"/>
        </w:rPr>
        <w:t>%，林草覆盖率为</w:t>
      </w:r>
      <w:r>
        <w:rPr>
          <w:rFonts w:hint="eastAsia" w:ascii="Times New Roman" w:hAnsi="Times New Roman" w:eastAsia="仿宋_GB2312"/>
          <w:color w:val="auto"/>
          <w:sz w:val="24"/>
          <w:szCs w:val="24"/>
          <w:lang w:val="en-US" w:eastAsia="zh-CN"/>
        </w:rPr>
        <w:t>6</w:t>
      </w:r>
      <w:r>
        <w:rPr>
          <w:rFonts w:hint="eastAsia" w:eastAsia="仿宋_GB2312"/>
          <w:color w:val="auto"/>
          <w:sz w:val="24"/>
          <w:szCs w:val="24"/>
          <w:lang w:val="en-US" w:eastAsia="zh-CN"/>
        </w:rPr>
        <w:t>4.39</w:t>
      </w:r>
      <w:r>
        <w:rPr>
          <w:rFonts w:hint="eastAsia" w:ascii="Times New Roman" w:hAnsi="Times New Roman" w:eastAsia="仿宋_GB2312"/>
          <w:color w:val="auto"/>
          <w:sz w:val="24"/>
          <w:szCs w:val="24"/>
        </w:rPr>
        <w:t>%。</w:t>
      </w:r>
    </w:p>
    <w:p>
      <w:pPr>
        <w:spacing w:line="360" w:lineRule="auto"/>
        <w:ind w:firstLine="482" w:firstLineChars="200"/>
        <w:rPr>
          <w:rFonts w:ascii="Times New Roman" w:hAnsi="Times New Roman" w:eastAsia="仿宋_GB2312"/>
          <w:b/>
          <w:bCs/>
          <w:sz w:val="24"/>
          <w:szCs w:val="24"/>
        </w:rPr>
      </w:pPr>
      <w:r>
        <w:rPr>
          <w:rFonts w:ascii="Times New Roman" w:hAnsi="Times New Roman" w:eastAsia="仿宋_GB2312"/>
          <w:b/>
          <w:bCs/>
          <w:sz w:val="24"/>
          <w:szCs w:val="24"/>
        </w:rPr>
        <w:t>2、建议</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1）建设单位要抓好水土保持施工等各环节工作，以确保水土保持方案报告书中提出的各项治理措施的落实，彻底治理水土流失。</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2）在施工的各阶段随时进行质量监督，提交监理日志、月报，及时向建设单位汇报施工中出现的问题。依据有关法律、法规及工程承包合同，协助处理各种水土保持纠纷。制定水土保持监理工作计划安排，确定工作重点，编制监理工作报告，作为水保设施验收的基础和水保验收报告必备的专题报告；工作报告主要对水保监理工作进行总结，提出存在的重大水土保持问题和解决问题的方法；定期归档监理成果。提交水土保持专项监理报告时附水土保持的影像资料。</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4）监测单位应做好资料管理工作，并进行终期总结。水土保持监测单位将监测结果通过月报、季报和年报的形式，上报建设单位，建设单位逐级上报各级网站，水土保持监测年度报告直接上报水行政主管部门。在监测过程对现场进行摄相，提交水土保持监测报告时附水土保持监测图片。</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5）建设单位应按照批复的水保方案做好水土保持工程的设计。</w:t>
      </w:r>
    </w:p>
    <w:p>
      <w:pPr>
        <w:rPr>
          <w:rFonts w:hint="eastAsia"/>
        </w:rPr>
      </w:pPr>
      <w:r>
        <w:rPr>
          <w:rFonts w:hint="eastAsia"/>
        </w:rPr>
        <w:br w:type="page"/>
      </w:r>
    </w:p>
    <w:p>
      <w:pPr>
        <w:pStyle w:val="3"/>
        <w:rPr>
          <w:rFonts w:ascii="Times New Roman" w:hAnsi="Times New Roman" w:eastAsia="仿宋_GB2312"/>
        </w:rPr>
      </w:pPr>
      <w:bookmarkStart w:id="49" w:name="_Toc32474"/>
      <w:bookmarkStart w:id="50" w:name="_Toc11227"/>
      <w:r>
        <w:rPr>
          <w:rFonts w:ascii="Times New Roman" w:hAnsi="Times New Roman" w:eastAsia="仿宋_GB2312"/>
        </w:rPr>
        <w:t>2项目概况</w:t>
      </w:r>
      <w:bookmarkEnd w:id="49"/>
      <w:bookmarkEnd w:id="50"/>
    </w:p>
    <w:p>
      <w:pPr>
        <w:pStyle w:val="4"/>
        <w:spacing w:before="120" w:after="120" w:line="360" w:lineRule="auto"/>
        <w:ind w:firstLine="0"/>
        <w:outlineLvl w:val="0"/>
        <w:rPr>
          <w:rFonts w:ascii="Times New Roman" w:hAnsi="Times New Roman" w:eastAsia="仿宋_GB2312" w:cs="Times New Roman"/>
          <w:b/>
          <w:bCs/>
          <w:sz w:val="32"/>
          <w:szCs w:val="32"/>
        </w:rPr>
      </w:pPr>
      <w:bookmarkStart w:id="51" w:name="_Toc11702"/>
      <w:bookmarkStart w:id="52" w:name="_Toc16864"/>
      <w:r>
        <w:rPr>
          <w:rFonts w:ascii="Times New Roman" w:hAnsi="Times New Roman" w:eastAsia="仿宋_GB2312" w:cs="Times New Roman"/>
          <w:b/>
          <w:bCs/>
          <w:sz w:val="32"/>
          <w:szCs w:val="32"/>
        </w:rPr>
        <w:t>2.1项目组成及工程布设</w:t>
      </w:r>
      <w:bookmarkEnd w:id="51"/>
      <w:bookmarkEnd w:id="52"/>
    </w:p>
    <w:p>
      <w:pPr>
        <w:pStyle w:val="5"/>
        <w:spacing w:before="0" w:after="120" w:line="360" w:lineRule="auto"/>
        <w:outlineLvl w:val="1"/>
        <w:rPr>
          <w:rFonts w:hint="eastAsia" w:ascii="Times New Roman" w:hAnsi="Times New Roman" w:eastAsia="仿宋_GB2312"/>
          <w:sz w:val="30"/>
          <w:szCs w:val="30"/>
          <w:lang w:eastAsia="zh-CN"/>
        </w:rPr>
      </w:pPr>
      <w:bookmarkStart w:id="53" w:name="_Toc3893"/>
      <w:r>
        <w:rPr>
          <w:rFonts w:ascii="Times New Roman" w:hAnsi="Times New Roman" w:eastAsia="仿宋_GB2312"/>
          <w:sz w:val="30"/>
          <w:szCs w:val="30"/>
        </w:rPr>
        <w:t>2.1.1</w:t>
      </w:r>
      <w:r>
        <w:rPr>
          <w:rFonts w:hint="eastAsia" w:ascii="Times New Roman" w:hAnsi="Times New Roman" w:eastAsia="仿宋_GB2312"/>
          <w:sz w:val="30"/>
          <w:szCs w:val="30"/>
          <w:lang w:eastAsia="zh-CN"/>
        </w:rPr>
        <w:t>项目基本情况</w:t>
      </w:r>
      <w:bookmarkEnd w:id="53"/>
    </w:p>
    <w:p>
      <w:pPr>
        <w:autoSpaceDE w:val="0"/>
        <w:autoSpaceDN w:val="0"/>
        <w:spacing w:line="360" w:lineRule="auto"/>
        <w:ind w:firstLine="482" w:firstLineChars="200"/>
        <w:rPr>
          <w:rFonts w:ascii="Times New Roman" w:hAnsi="Times New Roman" w:eastAsia="仿宋_GB2312"/>
          <w:b/>
          <w:bCs/>
          <w:sz w:val="24"/>
          <w:lang w:val="zh-CN"/>
        </w:rPr>
      </w:pPr>
      <w:r>
        <w:rPr>
          <w:rFonts w:ascii="Times New Roman" w:hAnsi="Times New Roman" w:eastAsia="仿宋_GB2312"/>
          <w:b/>
          <w:bCs/>
          <w:sz w:val="24"/>
          <w:lang w:val="zh-CN"/>
        </w:rPr>
        <w:t>1、项目名称</w:t>
      </w:r>
    </w:p>
    <w:p>
      <w:pPr>
        <w:tabs>
          <w:tab w:val="left" w:pos="6525"/>
        </w:tabs>
        <w:autoSpaceDE w:val="0"/>
        <w:autoSpaceDN w:val="0"/>
        <w:spacing w:line="360" w:lineRule="auto"/>
        <w:ind w:firstLine="480" w:firstLineChars="200"/>
        <w:rPr>
          <w:rFonts w:hint="eastAsia" w:ascii="Times New Roman" w:hAnsi="Times New Roman" w:eastAsia="仿宋_GB2312"/>
          <w:sz w:val="24"/>
          <w:lang w:eastAsia="zh-CN"/>
        </w:rPr>
      </w:pPr>
      <w:r>
        <w:rPr>
          <w:rFonts w:hint="eastAsia" w:ascii="Times New Roman" w:hAnsi="Times New Roman" w:eastAsia="仿宋_GB2312"/>
          <w:sz w:val="24"/>
          <w:lang w:eastAsia="zh-CN"/>
        </w:rPr>
        <w:t>曲沃县自得建材有限公司年开采加工12万吨建筑石料加工技术改造项目。</w:t>
      </w:r>
    </w:p>
    <w:p>
      <w:pPr>
        <w:tabs>
          <w:tab w:val="left" w:pos="6525"/>
        </w:tabs>
        <w:autoSpaceDE w:val="0"/>
        <w:autoSpaceDN w:val="0"/>
        <w:spacing w:line="360" w:lineRule="auto"/>
        <w:ind w:firstLine="482" w:firstLineChars="200"/>
        <w:rPr>
          <w:rFonts w:ascii="Times New Roman" w:hAnsi="Times New Roman" w:eastAsia="仿宋_GB2312"/>
          <w:b/>
          <w:bCs/>
          <w:sz w:val="24"/>
          <w:lang w:val="zh-CN"/>
        </w:rPr>
      </w:pPr>
      <w:r>
        <w:rPr>
          <w:rFonts w:ascii="Times New Roman" w:hAnsi="Times New Roman" w:eastAsia="仿宋_GB2312"/>
          <w:b/>
          <w:bCs/>
          <w:sz w:val="24"/>
          <w:lang w:val="zh-CN"/>
        </w:rPr>
        <w:t>2、建设单位</w:t>
      </w:r>
    </w:p>
    <w:p>
      <w:pPr>
        <w:tabs>
          <w:tab w:val="left" w:pos="6525"/>
        </w:tabs>
        <w:autoSpaceDE w:val="0"/>
        <w:autoSpaceDN w:val="0"/>
        <w:spacing w:line="360" w:lineRule="auto"/>
        <w:ind w:firstLine="480" w:firstLineChars="200"/>
        <w:rPr>
          <w:rFonts w:hint="eastAsia" w:ascii="Times New Roman" w:hAnsi="Times New Roman" w:eastAsia="仿宋_GB2312"/>
          <w:sz w:val="24"/>
          <w:lang w:eastAsia="zh-CN"/>
        </w:rPr>
      </w:pPr>
      <w:r>
        <w:rPr>
          <w:rFonts w:hint="eastAsia" w:ascii="Times New Roman" w:hAnsi="Times New Roman" w:eastAsia="仿宋_GB2312"/>
          <w:sz w:val="24"/>
          <w:lang w:eastAsia="zh-CN"/>
        </w:rPr>
        <w:t>曲沃县自得建材有限公司。</w:t>
      </w:r>
    </w:p>
    <w:p>
      <w:pPr>
        <w:autoSpaceDE w:val="0"/>
        <w:autoSpaceDN w:val="0"/>
        <w:spacing w:line="360" w:lineRule="auto"/>
        <w:ind w:firstLine="482" w:firstLineChars="200"/>
        <w:rPr>
          <w:rFonts w:ascii="Times New Roman" w:hAnsi="Times New Roman" w:eastAsia="仿宋_GB2312"/>
          <w:b/>
          <w:bCs/>
          <w:sz w:val="24"/>
          <w:lang w:val="zh-CN"/>
        </w:rPr>
      </w:pPr>
      <w:r>
        <w:rPr>
          <w:rFonts w:ascii="Times New Roman" w:hAnsi="Times New Roman" w:eastAsia="仿宋_GB2312"/>
          <w:b/>
          <w:bCs/>
          <w:sz w:val="24"/>
          <w:lang w:val="zh-CN"/>
        </w:rPr>
        <w:t>3、建设性质</w:t>
      </w:r>
    </w:p>
    <w:p>
      <w:pPr>
        <w:autoSpaceDE w:val="0"/>
        <w:autoSpaceDN w:val="0"/>
        <w:spacing w:line="360" w:lineRule="auto"/>
        <w:ind w:firstLine="480" w:firstLineChars="200"/>
        <w:rPr>
          <w:rFonts w:hint="eastAsia" w:ascii="Times New Roman" w:hAnsi="Times New Roman" w:eastAsia="仿宋_GB2312"/>
          <w:sz w:val="24"/>
          <w:lang w:eastAsia="zh-CN"/>
        </w:rPr>
      </w:pPr>
      <w:r>
        <w:rPr>
          <w:rFonts w:hint="eastAsia" w:ascii="Times New Roman" w:hAnsi="Times New Roman" w:eastAsia="仿宋_GB2312"/>
          <w:sz w:val="24"/>
          <w:lang w:eastAsia="zh-CN"/>
        </w:rPr>
        <w:t>技改生产类项目。</w:t>
      </w:r>
    </w:p>
    <w:p>
      <w:pPr>
        <w:autoSpaceDE w:val="0"/>
        <w:autoSpaceDN w:val="0"/>
        <w:spacing w:line="360" w:lineRule="auto"/>
        <w:ind w:firstLine="498" w:firstLineChars="200"/>
        <w:rPr>
          <w:rFonts w:ascii="Times New Roman" w:hAnsi="Times New Roman" w:eastAsia="仿宋_GB2312"/>
          <w:b/>
          <w:spacing w:val="4"/>
          <w:sz w:val="24"/>
        </w:rPr>
      </w:pPr>
      <w:r>
        <w:rPr>
          <w:rFonts w:ascii="Times New Roman" w:hAnsi="Times New Roman" w:eastAsia="仿宋_GB2312"/>
          <w:b/>
          <w:spacing w:val="4"/>
          <w:sz w:val="24"/>
        </w:rPr>
        <w:t>4、建设规模</w:t>
      </w:r>
    </w:p>
    <w:p>
      <w:pPr>
        <w:autoSpaceDE w:val="0"/>
        <w:autoSpaceDN w:val="0"/>
        <w:spacing w:line="360" w:lineRule="auto"/>
        <w:ind w:firstLine="480" w:firstLineChars="200"/>
        <w:rPr>
          <w:rFonts w:hint="eastAsia" w:ascii="Times New Roman" w:hAnsi="Times New Roman" w:eastAsia="仿宋_GB2312"/>
          <w:spacing w:val="4"/>
          <w:sz w:val="24"/>
          <w:lang w:eastAsia="zh-CN"/>
        </w:rPr>
      </w:pPr>
      <w:r>
        <w:rPr>
          <w:rFonts w:hint="eastAsia"/>
          <w:lang w:eastAsia="zh-CN"/>
        </w:rPr>
        <w:t>12</w:t>
      </w:r>
      <w:r>
        <w:rPr>
          <w:rFonts w:hint="eastAsia" w:ascii="Times New Roman" w:hAnsi="Times New Roman" w:eastAsia="仿宋_GB2312"/>
          <w:spacing w:val="4"/>
          <w:sz w:val="24"/>
          <w:lang w:eastAsia="zh-CN"/>
        </w:rPr>
        <w:t>万t/a。</w:t>
      </w:r>
    </w:p>
    <w:p>
      <w:pPr>
        <w:autoSpaceDE w:val="0"/>
        <w:autoSpaceDN w:val="0"/>
        <w:spacing w:line="360" w:lineRule="auto"/>
        <w:ind w:firstLine="482" w:firstLineChars="200"/>
        <w:rPr>
          <w:rFonts w:ascii="Times New Roman" w:hAnsi="Times New Roman" w:eastAsia="仿宋_GB2312"/>
          <w:b/>
          <w:sz w:val="24"/>
        </w:rPr>
      </w:pPr>
      <w:r>
        <w:rPr>
          <w:rFonts w:ascii="Times New Roman" w:hAnsi="Times New Roman" w:eastAsia="仿宋_GB2312"/>
          <w:b/>
          <w:sz w:val="24"/>
        </w:rPr>
        <w:t>5、建设地点</w:t>
      </w:r>
    </w:p>
    <w:p>
      <w:pPr>
        <w:autoSpaceDE w:val="0"/>
        <w:autoSpaceDN w:val="0"/>
        <w:spacing w:line="360" w:lineRule="auto"/>
        <w:ind w:firstLine="480" w:firstLineChars="200"/>
        <w:rPr>
          <w:rFonts w:hint="eastAsia"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曲沃县北董乡。</w:t>
      </w:r>
    </w:p>
    <w:p>
      <w:pPr>
        <w:autoSpaceDE w:val="0"/>
        <w:autoSpaceDN w:val="0"/>
        <w:spacing w:line="360" w:lineRule="auto"/>
        <w:ind w:firstLine="482" w:firstLineChars="200"/>
        <w:rPr>
          <w:rFonts w:ascii="Times New Roman" w:hAnsi="Times New Roman" w:eastAsia="仿宋_GB2312"/>
          <w:b/>
          <w:bCs/>
          <w:sz w:val="24"/>
        </w:rPr>
      </w:pPr>
      <w:r>
        <w:rPr>
          <w:rFonts w:ascii="Times New Roman" w:hAnsi="Times New Roman" w:eastAsia="仿宋_GB2312"/>
          <w:b/>
          <w:bCs/>
          <w:sz w:val="24"/>
        </w:rPr>
        <w:t>6、基本情况</w:t>
      </w:r>
    </w:p>
    <w:p>
      <w:pPr>
        <w:autoSpaceDE w:val="0"/>
        <w:autoSpaceDN w:val="0"/>
        <w:spacing w:line="360" w:lineRule="auto"/>
        <w:ind w:firstLine="480" w:firstLineChars="200"/>
        <w:rPr>
          <w:rFonts w:hint="eastAsia" w:ascii="Times New Roman" w:hAnsi="Times New Roman" w:eastAsia="仿宋_GB2312"/>
          <w:sz w:val="24"/>
          <w:lang w:eastAsia="zh-CN"/>
        </w:rPr>
      </w:pPr>
      <w:r>
        <w:rPr>
          <w:rFonts w:hint="eastAsia" w:ascii="Times New Roman" w:hAnsi="Times New Roman" w:eastAsia="仿宋_GB2312"/>
          <w:sz w:val="24"/>
          <w:lang w:eastAsia="zh-CN"/>
        </w:rPr>
        <w:t>曲沃县自得建材有限公司年开采加工12万吨建筑石料加工技术改造项目位于曲沃县城175°方向直距约5.5km的裴南庄村，行政区划隶属曲沃县北董乡管辖。其地理坐标为北纬35°34′43″—35°34′55″，东111°29′07″—111°29′13″。</w:t>
      </w:r>
    </w:p>
    <w:p>
      <w:pPr>
        <w:autoSpaceDE w:val="0"/>
        <w:autoSpaceDN w:val="0"/>
        <w:spacing w:line="360" w:lineRule="auto"/>
        <w:ind w:firstLine="480" w:firstLineChars="200"/>
        <w:rPr>
          <w:rFonts w:ascii="Times New Roman" w:hAnsi="Times New Roman" w:eastAsia="仿宋_GB2312"/>
          <w:b w:val="0"/>
          <w:bCs w:val="0"/>
          <w:sz w:val="24"/>
        </w:rPr>
      </w:pPr>
      <w:r>
        <w:rPr>
          <w:rFonts w:hint="eastAsia" w:ascii="Times New Roman" w:hAnsi="Times New Roman" w:eastAsia="仿宋_GB2312"/>
          <w:sz w:val="24"/>
        </w:rPr>
        <w:t>矿区有农村道路经过，沿农村道路向北经裴南庄村、安鹄村等至曲沃县城约7km。</w:t>
      </w:r>
      <w:r>
        <w:rPr>
          <w:rFonts w:hint="eastAsia" w:ascii="Times New Roman" w:hAnsi="Times New Roman" w:eastAsia="仿宋_GB2312"/>
          <w:b w:val="0"/>
          <w:bCs w:val="0"/>
          <w:sz w:val="24"/>
        </w:rPr>
        <w:t>曲沃县城还有晋侯高速、南同蒲铁路和大西高铁过境，交通便利。</w:t>
      </w:r>
    </w:p>
    <w:p>
      <w:pPr>
        <w:autoSpaceDE w:val="0"/>
        <w:autoSpaceDN w:val="0"/>
        <w:spacing w:line="360" w:lineRule="auto"/>
        <w:ind w:firstLine="482" w:firstLineChars="200"/>
        <w:rPr>
          <w:rFonts w:hint="eastAsia" w:ascii="Times New Roman" w:hAnsi="Times New Roman" w:eastAsia="仿宋_GB2312"/>
          <w:b/>
          <w:bCs/>
          <w:sz w:val="24"/>
          <w:lang w:val="en-US" w:eastAsia="zh-CN"/>
        </w:rPr>
      </w:pPr>
      <w:r>
        <w:rPr>
          <w:rFonts w:hint="eastAsia" w:ascii="Times New Roman" w:hAnsi="Times New Roman" w:eastAsia="仿宋_GB2312"/>
          <w:b/>
          <w:bCs/>
          <w:sz w:val="24"/>
          <w:lang w:val="en-US" w:eastAsia="zh-CN"/>
        </w:rPr>
        <w:t>7、矿山概况及开拓</w:t>
      </w:r>
    </w:p>
    <w:p>
      <w:pPr>
        <w:pStyle w:val="2"/>
        <w:rPr>
          <w:rFonts w:hint="eastAsia" w:ascii="Times New Roman" w:hAnsi="Times New Roman" w:eastAsia="仿宋_GB2312" w:cs="Times New Roman"/>
          <w:spacing w:val="0"/>
          <w:kern w:val="2"/>
          <w:sz w:val="24"/>
          <w:szCs w:val="24"/>
          <w:lang w:val="en-US" w:eastAsia="zh-CN" w:bidi="ar-SA"/>
        </w:rPr>
      </w:pPr>
      <w:r>
        <w:rPr>
          <w:rFonts w:hint="eastAsia" w:ascii="Times New Roman" w:hAnsi="Times New Roman" w:eastAsia="仿宋_GB2312" w:cs="Times New Roman"/>
          <w:spacing w:val="0"/>
          <w:kern w:val="2"/>
          <w:sz w:val="24"/>
          <w:szCs w:val="24"/>
          <w:lang w:val="en-US" w:eastAsia="zh-CN" w:bidi="ar-SA"/>
        </w:rPr>
        <w:t>根据临汾市规划和自然资源局《关于曲沃县自得建材有限公司申请划定矿区范围批复延续变更的批复意见》（临自然资函[2019]393号），采矿权人曲沃县自得建材有限公司，矿山名称曲沃县自得建材有限公司，批准开采矿种为片麻岩，开采方式为露天开采，生产规模10.00万t/a，矿区面积共4.07hm</w:t>
      </w:r>
      <w:r>
        <w:rPr>
          <w:rFonts w:hint="eastAsia" w:ascii="Times New Roman" w:hAnsi="Times New Roman" w:eastAsia="仿宋_GB2312" w:cs="Times New Roman"/>
          <w:spacing w:val="0"/>
          <w:kern w:val="2"/>
          <w:sz w:val="24"/>
          <w:szCs w:val="24"/>
          <w:vertAlign w:val="superscript"/>
          <w:lang w:val="en-US" w:eastAsia="zh-CN" w:bidi="ar-SA"/>
        </w:rPr>
        <w:t>2</w:t>
      </w:r>
      <w:r>
        <w:rPr>
          <w:rFonts w:hint="eastAsia" w:ascii="Times New Roman" w:hAnsi="Times New Roman" w:eastAsia="仿宋_GB2312" w:cs="Times New Roman"/>
          <w:spacing w:val="0"/>
          <w:kern w:val="2"/>
          <w:sz w:val="24"/>
          <w:szCs w:val="24"/>
          <w:lang w:val="en-US" w:eastAsia="zh-CN" w:bidi="ar-SA"/>
        </w:rPr>
        <w:t>，其中西区面积1.33hm</w:t>
      </w:r>
      <w:r>
        <w:rPr>
          <w:rFonts w:hint="eastAsia" w:ascii="Times New Roman" w:hAnsi="Times New Roman" w:eastAsia="仿宋_GB2312" w:cs="Times New Roman"/>
          <w:spacing w:val="0"/>
          <w:kern w:val="2"/>
          <w:sz w:val="24"/>
          <w:szCs w:val="24"/>
          <w:vertAlign w:val="superscript"/>
          <w:lang w:val="en-US" w:eastAsia="zh-CN" w:bidi="ar-SA"/>
        </w:rPr>
        <w:t>2</w:t>
      </w:r>
      <w:r>
        <w:rPr>
          <w:rFonts w:hint="eastAsia" w:ascii="Times New Roman" w:hAnsi="Times New Roman" w:eastAsia="仿宋_GB2312" w:cs="Times New Roman"/>
          <w:spacing w:val="0"/>
          <w:kern w:val="2"/>
          <w:sz w:val="24"/>
          <w:szCs w:val="24"/>
          <w:lang w:val="en-US" w:eastAsia="zh-CN" w:bidi="ar-SA"/>
        </w:rPr>
        <w:t>，东区面积2.74hm</w:t>
      </w:r>
      <w:r>
        <w:rPr>
          <w:rFonts w:hint="eastAsia" w:ascii="Times New Roman" w:hAnsi="Times New Roman" w:eastAsia="仿宋_GB2312" w:cs="Times New Roman"/>
          <w:spacing w:val="0"/>
          <w:kern w:val="2"/>
          <w:sz w:val="24"/>
          <w:szCs w:val="24"/>
          <w:vertAlign w:val="superscript"/>
          <w:lang w:val="en-US" w:eastAsia="zh-CN" w:bidi="ar-SA"/>
        </w:rPr>
        <w:t>2</w:t>
      </w:r>
      <w:r>
        <w:rPr>
          <w:rFonts w:hint="eastAsia" w:ascii="Times New Roman" w:hAnsi="Times New Roman" w:eastAsia="仿宋_GB2312" w:cs="Times New Roman"/>
          <w:spacing w:val="0"/>
          <w:kern w:val="2"/>
          <w:sz w:val="24"/>
          <w:szCs w:val="24"/>
          <w:lang w:val="en-US" w:eastAsia="zh-CN" w:bidi="ar-SA"/>
        </w:rPr>
        <w:t>，开采标高为735—650m。</w:t>
      </w:r>
    </w:p>
    <w:p>
      <w:pPr>
        <w:pStyle w:val="2"/>
        <w:rPr>
          <w:rFonts w:hint="eastAsia" w:ascii="Times New Roman" w:hAnsi="Times New Roman" w:eastAsia="仿宋_GB2312" w:cs="Times New Roman"/>
          <w:spacing w:val="0"/>
          <w:kern w:val="2"/>
          <w:sz w:val="24"/>
          <w:szCs w:val="24"/>
          <w:lang w:val="en-US" w:eastAsia="zh-CN" w:bidi="ar-SA"/>
        </w:rPr>
      </w:pPr>
      <w:r>
        <w:rPr>
          <w:rFonts w:hint="eastAsia" w:ascii="Times New Roman" w:hAnsi="Times New Roman" w:eastAsia="仿宋_GB2312" w:cs="Times New Roman"/>
          <w:spacing w:val="0"/>
          <w:kern w:val="2"/>
          <w:sz w:val="24"/>
          <w:szCs w:val="24"/>
          <w:lang w:val="en-US" w:eastAsia="zh-CN" w:bidi="ar-SA"/>
        </w:rPr>
        <w:t>2018年调整矿区范围后，中国冶金地质总局第三地质勘查院2018年8月编制了《曲沃县自得建材有限公司年开采加工12万吨建筑石料加工技术改造项目资源储量核实报告》，截止2018年7月31日，全区累计查明片麻岩资源量150.17万吨，其中动用资源量3.56万吨，保有推断资源量146.61万吨；累计查明石英岩矿累计查明资源量7.50万吨，其中动用资源量2.09万吨，保有推断资源量5.41万吨。</w:t>
      </w:r>
    </w:p>
    <w:p>
      <w:pPr>
        <w:pStyle w:val="2"/>
        <w:rPr>
          <w:rFonts w:hint="eastAsia" w:ascii="Times New Roman" w:hAnsi="Times New Roman" w:eastAsia="仿宋_GB2312" w:cs="Times New Roman"/>
          <w:spacing w:val="0"/>
          <w:kern w:val="2"/>
          <w:sz w:val="24"/>
          <w:szCs w:val="24"/>
          <w:lang w:val="en-US" w:eastAsia="zh-CN" w:bidi="ar-SA"/>
        </w:rPr>
      </w:pPr>
      <w:r>
        <w:rPr>
          <w:rFonts w:hint="eastAsia" w:ascii="Times New Roman" w:hAnsi="Times New Roman" w:eastAsia="仿宋_GB2312" w:cs="Times New Roman"/>
          <w:spacing w:val="0"/>
          <w:kern w:val="2"/>
          <w:sz w:val="24"/>
          <w:szCs w:val="24"/>
          <w:lang w:val="en-US" w:eastAsia="zh-CN" w:bidi="ar-SA"/>
        </w:rPr>
        <w:t>2019年9月山西省第五地质工程勘察院编制了《曲沃县自得建材有限公司年开采加工12万吨建筑石料加工技术改造项目矿产资源开发利用、地质环境保护与土地复垦方案》，于2020年1月7日经临汾市矿产开发事务所评审通过（临矿所“三合一”评字［2020］005号），之后，矿山一直在完善各种手续，处于停产状态至今。现曲沃县自得建材有限公司拟将生产规模提高到12万吨/年，为此，曲沃县自得建材有限公司重新编制《曲沃县自得建材有限公司年开采加工12万吨建筑石料加工技术改造项目矿产资源开发利用、地质环境保护与土地复垦方案》。矿区范围拐点坐标见表</w:t>
      </w:r>
      <w:r>
        <w:rPr>
          <w:rFonts w:hint="eastAsia" w:eastAsia="仿宋_GB2312" w:cs="Times New Roman"/>
          <w:spacing w:val="0"/>
          <w:kern w:val="2"/>
          <w:sz w:val="24"/>
          <w:szCs w:val="24"/>
          <w:lang w:val="en-US" w:eastAsia="zh-CN" w:bidi="ar-SA"/>
        </w:rPr>
        <w:t>2</w:t>
      </w:r>
      <w:r>
        <w:rPr>
          <w:rFonts w:hint="eastAsia" w:ascii="Times New Roman" w:hAnsi="Times New Roman" w:eastAsia="仿宋_GB2312" w:cs="Times New Roman"/>
          <w:spacing w:val="0"/>
          <w:kern w:val="2"/>
          <w:sz w:val="24"/>
          <w:szCs w:val="24"/>
          <w:lang w:val="en-US" w:eastAsia="zh-CN" w:bidi="ar-SA"/>
        </w:rPr>
        <w:t>-1。</w:t>
      </w:r>
    </w:p>
    <w:p>
      <w:pPr>
        <w:jc w:val="center"/>
        <w:rPr>
          <w:rFonts w:ascii="宋体" w:hAnsi="宋体"/>
          <w:b/>
          <w:bCs/>
          <w:sz w:val="24"/>
        </w:rPr>
      </w:pPr>
      <w:r>
        <w:rPr>
          <w:rFonts w:ascii="宋体" w:hAnsi="宋体"/>
          <w:b/>
          <w:bCs/>
          <w:sz w:val="24"/>
        </w:rPr>
        <w:t>表</w:t>
      </w:r>
      <w:r>
        <w:rPr>
          <w:rFonts w:hint="eastAsia" w:ascii="宋体" w:hAnsi="宋体"/>
          <w:b/>
          <w:bCs/>
          <w:sz w:val="24"/>
          <w:lang w:val="en-US" w:eastAsia="zh-CN"/>
        </w:rPr>
        <w:t>2</w:t>
      </w:r>
      <w:r>
        <w:rPr>
          <w:rFonts w:ascii="宋体" w:hAnsi="宋体"/>
          <w:b/>
          <w:bCs/>
          <w:sz w:val="24"/>
        </w:rPr>
        <w:t>-1   矿区范围拐点坐标表</w:t>
      </w:r>
    </w:p>
    <w:tbl>
      <w:tblPr>
        <w:tblStyle w:val="24"/>
        <w:tblW w:w="0" w:type="auto"/>
        <w:tblInd w:w="113" w:type="dxa"/>
        <w:tblLayout w:type="fixed"/>
        <w:tblCellMar>
          <w:top w:w="0" w:type="dxa"/>
          <w:left w:w="108" w:type="dxa"/>
          <w:bottom w:w="0" w:type="dxa"/>
          <w:right w:w="108" w:type="dxa"/>
        </w:tblCellMar>
      </w:tblPr>
      <w:tblGrid>
        <w:gridCol w:w="846"/>
        <w:gridCol w:w="1480"/>
        <w:gridCol w:w="1490"/>
        <w:gridCol w:w="1490"/>
        <w:gridCol w:w="1490"/>
        <w:gridCol w:w="1490"/>
      </w:tblGrid>
      <w:tr>
        <w:tblPrEx>
          <w:tblCellMar>
            <w:top w:w="0" w:type="dxa"/>
            <w:left w:w="108" w:type="dxa"/>
            <w:bottom w:w="0" w:type="dxa"/>
            <w:right w:w="108" w:type="dxa"/>
          </w:tblCellMar>
        </w:tblPrEx>
        <w:trPr>
          <w:trHeight w:val="255" w:hRule="atLeast"/>
        </w:trPr>
        <w:tc>
          <w:tcPr>
            <w:tcW w:w="846"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40" w:lineRule="auto"/>
              <w:jc w:val="center"/>
              <w:rPr>
                <w:rFonts w:ascii="宋体" w:hAnsi="宋体" w:cs="Arial"/>
                <w:kern w:val="0"/>
                <w:sz w:val="20"/>
              </w:rPr>
            </w:pPr>
            <w:r>
              <w:rPr>
                <w:rFonts w:hint="eastAsia" w:ascii="宋体" w:hAnsi="宋体" w:cs="Arial"/>
                <w:kern w:val="0"/>
                <w:sz w:val="20"/>
              </w:rPr>
              <w:t>分区</w:t>
            </w:r>
          </w:p>
        </w:tc>
        <w:tc>
          <w:tcPr>
            <w:tcW w:w="1480" w:type="dxa"/>
            <w:tcBorders>
              <w:top w:val="single" w:color="auto" w:sz="4" w:space="0"/>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坐标系统</w:t>
            </w:r>
          </w:p>
        </w:tc>
        <w:tc>
          <w:tcPr>
            <w:tcW w:w="2980" w:type="dxa"/>
            <w:gridSpan w:val="2"/>
            <w:tcBorders>
              <w:top w:val="single" w:color="auto" w:sz="4" w:space="0"/>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西安80坐标系</w:t>
            </w:r>
          </w:p>
        </w:tc>
        <w:tc>
          <w:tcPr>
            <w:tcW w:w="2980" w:type="dxa"/>
            <w:gridSpan w:val="2"/>
            <w:tcBorders>
              <w:top w:val="single" w:color="auto" w:sz="4" w:space="0"/>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CGCS2000坐标系</w:t>
            </w:r>
          </w:p>
        </w:tc>
      </w:tr>
      <w:tr>
        <w:tblPrEx>
          <w:tblCellMar>
            <w:top w:w="0" w:type="dxa"/>
            <w:left w:w="108" w:type="dxa"/>
            <w:bottom w:w="0" w:type="dxa"/>
            <w:right w:w="108" w:type="dxa"/>
          </w:tblCellMar>
        </w:tblPrEx>
        <w:trPr>
          <w:trHeight w:val="90" w:hRule="atLeast"/>
        </w:trPr>
        <w:tc>
          <w:tcPr>
            <w:tcW w:w="84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ascii="宋体" w:hAnsi="宋体" w:cs="Arial"/>
                <w:kern w:val="0"/>
                <w:sz w:val="20"/>
              </w:rPr>
            </w:pPr>
          </w:p>
        </w:tc>
        <w:tc>
          <w:tcPr>
            <w:tcW w:w="148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中央子午线</w:t>
            </w:r>
          </w:p>
        </w:tc>
        <w:tc>
          <w:tcPr>
            <w:tcW w:w="2980" w:type="dxa"/>
            <w:gridSpan w:val="2"/>
            <w:tcBorders>
              <w:top w:val="single" w:color="auto" w:sz="4" w:space="0"/>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三度带111度</w:t>
            </w:r>
          </w:p>
        </w:tc>
        <w:tc>
          <w:tcPr>
            <w:tcW w:w="2980" w:type="dxa"/>
            <w:gridSpan w:val="2"/>
            <w:tcBorders>
              <w:top w:val="single" w:color="auto" w:sz="4" w:space="0"/>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三度带111度</w:t>
            </w:r>
          </w:p>
        </w:tc>
      </w:tr>
      <w:tr>
        <w:tblPrEx>
          <w:tblCellMar>
            <w:top w:w="0" w:type="dxa"/>
            <w:left w:w="108" w:type="dxa"/>
            <w:bottom w:w="0" w:type="dxa"/>
            <w:right w:w="108" w:type="dxa"/>
          </w:tblCellMar>
        </w:tblPrEx>
        <w:trPr>
          <w:trHeight w:val="255" w:hRule="atLeast"/>
        </w:trPr>
        <w:tc>
          <w:tcPr>
            <w:tcW w:w="84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jc w:val="left"/>
              <w:rPr>
                <w:rFonts w:ascii="宋体" w:hAnsi="宋体" w:cs="Arial"/>
                <w:kern w:val="0"/>
                <w:sz w:val="20"/>
              </w:rPr>
            </w:pPr>
          </w:p>
        </w:tc>
        <w:tc>
          <w:tcPr>
            <w:tcW w:w="148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拐点编号</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纵坐标X（m）</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横坐标Y（m）</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纵坐标X（m）</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横坐标Y（m）</w:t>
            </w:r>
          </w:p>
        </w:tc>
      </w:tr>
      <w:tr>
        <w:tblPrEx>
          <w:tblCellMar>
            <w:top w:w="0" w:type="dxa"/>
            <w:left w:w="108" w:type="dxa"/>
            <w:bottom w:w="0" w:type="dxa"/>
            <w:right w:w="108" w:type="dxa"/>
          </w:tblCellMar>
        </w:tblPrEx>
        <w:trPr>
          <w:trHeight w:val="255" w:hRule="atLeast"/>
        </w:trPr>
        <w:tc>
          <w:tcPr>
            <w:tcW w:w="846" w:type="dxa"/>
            <w:vMerge w:val="restart"/>
            <w:tcBorders>
              <w:top w:val="nil"/>
              <w:left w:val="single" w:color="auto" w:sz="4" w:space="0"/>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西区</w:t>
            </w:r>
          </w:p>
        </w:tc>
        <w:tc>
          <w:tcPr>
            <w:tcW w:w="148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1</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3939278.110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544046.990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3939282.728</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544162.514</w:t>
            </w:r>
          </w:p>
        </w:tc>
      </w:tr>
      <w:tr>
        <w:tblPrEx>
          <w:tblCellMar>
            <w:top w:w="0" w:type="dxa"/>
            <w:left w:w="108" w:type="dxa"/>
            <w:bottom w:w="0" w:type="dxa"/>
            <w:right w:w="108" w:type="dxa"/>
          </w:tblCellMar>
        </w:tblPrEx>
        <w:trPr>
          <w:trHeight w:val="255" w:hRule="atLeast"/>
        </w:trPr>
        <w:tc>
          <w:tcPr>
            <w:tcW w:w="84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jc w:val="left"/>
              <w:rPr>
                <w:rFonts w:ascii="宋体" w:hAnsi="宋体" w:cs="Arial"/>
                <w:kern w:val="0"/>
                <w:sz w:val="20"/>
              </w:rPr>
            </w:pPr>
          </w:p>
        </w:tc>
        <w:tc>
          <w:tcPr>
            <w:tcW w:w="148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2</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3939180.490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544030.280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3939185.108</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544145.804</w:t>
            </w:r>
          </w:p>
        </w:tc>
      </w:tr>
      <w:tr>
        <w:tblPrEx>
          <w:tblCellMar>
            <w:top w:w="0" w:type="dxa"/>
            <w:left w:w="108" w:type="dxa"/>
            <w:bottom w:w="0" w:type="dxa"/>
            <w:right w:w="108" w:type="dxa"/>
          </w:tblCellMar>
        </w:tblPrEx>
        <w:trPr>
          <w:trHeight w:val="255" w:hRule="atLeast"/>
        </w:trPr>
        <w:tc>
          <w:tcPr>
            <w:tcW w:w="84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jc w:val="left"/>
              <w:rPr>
                <w:rFonts w:ascii="宋体" w:hAnsi="宋体" w:cs="Arial"/>
                <w:kern w:val="0"/>
                <w:sz w:val="20"/>
              </w:rPr>
            </w:pPr>
          </w:p>
        </w:tc>
        <w:tc>
          <w:tcPr>
            <w:tcW w:w="148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3939116.190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544085.090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3939120.808</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544200.614</w:t>
            </w:r>
          </w:p>
        </w:tc>
      </w:tr>
      <w:tr>
        <w:tblPrEx>
          <w:tblCellMar>
            <w:top w:w="0" w:type="dxa"/>
            <w:left w:w="108" w:type="dxa"/>
            <w:bottom w:w="0" w:type="dxa"/>
            <w:right w:w="108" w:type="dxa"/>
          </w:tblCellMar>
        </w:tblPrEx>
        <w:trPr>
          <w:trHeight w:val="255" w:hRule="atLeast"/>
        </w:trPr>
        <w:tc>
          <w:tcPr>
            <w:tcW w:w="84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jc w:val="left"/>
              <w:rPr>
                <w:rFonts w:ascii="宋体" w:hAnsi="宋体" w:cs="Arial"/>
                <w:kern w:val="0"/>
                <w:sz w:val="20"/>
              </w:rPr>
            </w:pPr>
          </w:p>
        </w:tc>
        <w:tc>
          <w:tcPr>
            <w:tcW w:w="148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4</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3939056.160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544089.850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3939060.778</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544205.374</w:t>
            </w:r>
          </w:p>
        </w:tc>
      </w:tr>
      <w:tr>
        <w:tblPrEx>
          <w:tblCellMar>
            <w:top w:w="0" w:type="dxa"/>
            <w:left w:w="108" w:type="dxa"/>
            <w:bottom w:w="0" w:type="dxa"/>
            <w:right w:w="108" w:type="dxa"/>
          </w:tblCellMar>
        </w:tblPrEx>
        <w:trPr>
          <w:trHeight w:val="255" w:hRule="atLeast"/>
        </w:trPr>
        <w:tc>
          <w:tcPr>
            <w:tcW w:w="84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jc w:val="left"/>
              <w:rPr>
                <w:rFonts w:ascii="宋体" w:hAnsi="宋体" w:cs="Arial"/>
                <w:kern w:val="0"/>
                <w:sz w:val="20"/>
              </w:rPr>
            </w:pPr>
          </w:p>
        </w:tc>
        <w:tc>
          <w:tcPr>
            <w:tcW w:w="148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3939035.230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543981.110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3939039.848</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544096.633</w:t>
            </w:r>
          </w:p>
        </w:tc>
      </w:tr>
      <w:tr>
        <w:tblPrEx>
          <w:tblCellMar>
            <w:top w:w="0" w:type="dxa"/>
            <w:left w:w="108" w:type="dxa"/>
            <w:bottom w:w="0" w:type="dxa"/>
            <w:right w:w="108" w:type="dxa"/>
          </w:tblCellMar>
        </w:tblPrEx>
        <w:trPr>
          <w:trHeight w:val="255" w:hRule="atLeast"/>
        </w:trPr>
        <w:tc>
          <w:tcPr>
            <w:tcW w:w="84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jc w:val="left"/>
              <w:rPr>
                <w:rFonts w:ascii="宋体" w:hAnsi="宋体" w:cs="Arial"/>
                <w:kern w:val="0"/>
                <w:sz w:val="20"/>
              </w:rPr>
            </w:pPr>
          </w:p>
        </w:tc>
        <w:tc>
          <w:tcPr>
            <w:tcW w:w="148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6</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3939134.450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543981.270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3939139.068</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544096.793</w:t>
            </w:r>
          </w:p>
        </w:tc>
      </w:tr>
      <w:tr>
        <w:tblPrEx>
          <w:tblCellMar>
            <w:top w:w="0" w:type="dxa"/>
            <w:left w:w="108" w:type="dxa"/>
            <w:bottom w:w="0" w:type="dxa"/>
            <w:right w:w="108" w:type="dxa"/>
          </w:tblCellMar>
        </w:tblPrEx>
        <w:trPr>
          <w:trHeight w:val="255" w:hRule="atLeast"/>
        </w:trPr>
        <w:tc>
          <w:tcPr>
            <w:tcW w:w="846" w:type="dxa"/>
            <w:vMerge w:val="restart"/>
            <w:tcBorders>
              <w:top w:val="nil"/>
              <w:left w:val="single" w:color="auto" w:sz="4" w:space="0"/>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东区</w:t>
            </w:r>
          </w:p>
        </w:tc>
        <w:tc>
          <w:tcPr>
            <w:tcW w:w="148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1</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3939100.460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544281.150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3939105.078</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544396.674</w:t>
            </w:r>
          </w:p>
        </w:tc>
      </w:tr>
      <w:tr>
        <w:tblPrEx>
          <w:tblCellMar>
            <w:top w:w="0" w:type="dxa"/>
            <w:left w:w="108" w:type="dxa"/>
            <w:bottom w:w="0" w:type="dxa"/>
            <w:right w:w="108" w:type="dxa"/>
          </w:tblCellMar>
        </w:tblPrEx>
        <w:trPr>
          <w:trHeight w:val="255" w:hRule="atLeast"/>
        </w:trPr>
        <w:tc>
          <w:tcPr>
            <w:tcW w:w="84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jc w:val="left"/>
              <w:rPr>
                <w:rFonts w:ascii="宋体" w:hAnsi="宋体" w:cs="Arial"/>
                <w:kern w:val="0"/>
                <w:sz w:val="20"/>
              </w:rPr>
            </w:pPr>
          </w:p>
        </w:tc>
        <w:tc>
          <w:tcPr>
            <w:tcW w:w="148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2</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3938900.450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544281.150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3938905.067</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544396.675</w:t>
            </w:r>
          </w:p>
        </w:tc>
      </w:tr>
      <w:tr>
        <w:tblPrEx>
          <w:tblCellMar>
            <w:top w:w="0" w:type="dxa"/>
            <w:left w:w="108" w:type="dxa"/>
            <w:bottom w:w="0" w:type="dxa"/>
            <w:right w:w="108" w:type="dxa"/>
          </w:tblCellMar>
        </w:tblPrEx>
        <w:trPr>
          <w:trHeight w:val="255" w:hRule="atLeast"/>
        </w:trPr>
        <w:tc>
          <w:tcPr>
            <w:tcW w:w="84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jc w:val="left"/>
              <w:rPr>
                <w:rFonts w:ascii="宋体" w:hAnsi="宋体" w:cs="Arial"/>
                <w:kern w:val="0"/>
                <w:sz w:val="20"/>
              </w:rPr>
            </w:pPr>
          </w:p>
        </w:tc>
        <w:tc>
          <w:tcPr>
            <w:tcW w:w="148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3938900.450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544058.100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3938905.067</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544173.624</w:t>
            </w:r>
          </w:p>
        </w:tc>
      </w:tr>
      <w:tr>
        <w:tblPrEx>
          <w:tblCellMar>
            <w:top w:w="0" w:type="dxa"/>
            <w:left w:w="108" w:type="dxa"/>
            <w:bottom w:w="0" w:type="dxa"/>
            <w:right w:w="108" w:type="dxa"/>
          </w:tblCellMar>
        </w:tblPrEx>
        <w:trPr>
          <w:trHeight w:val="255" w:hRule="atLeast"/>
        </w:trPr>
        <w:tc>
          <w:tcPr>
            <w:tcW w:w="84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jc w:val="left"/>
              <w:rPr>
                <w:rFonts w:ascii="宋体" w:hAnsi="宋体" w:cs="Arial"/>
                <w:kern w:val="0"/>
                <w:sz w:val="20"/>
              </w:rPr>
            </w:pPr>
          </w:p>
        </w:tc>
        <w:tc>
          <w:tcPr>
            <w:tcW w:w="148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4</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3938973.310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544125.570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3938977.927</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544241.094</w:t>
            </w:r>
          </w:p>
        </w:tc>
      </w:tr>
      <w:tr>
        <w:tblPrEx>
          <w:tblCellMar>
            <w:top w:w="0" w:type="dxa"/>
            <w:left w:w="108" w:type="dxa"/>
            <w:bottom w:w="0" w:type="dxa"/>
            <w:right w:w="108" w:type="dxa"/>
          </w:tblCellMar>
        </w:tblPrEx>
        <w:trPr>
          <w:trHeight w:val="255" w:hRule="atLeast"/>
        </w:trPr>
        <w:tc>
          <w:tcPr>
            <w:tcW w:w="84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jc w:val="left"/>
              <w:rPr>
                <w:rFonts w:ascii="宋体" w:hAnsi="宋体" w:cs="Arial"/>
                <w:kern w:val="0"/>
                <w:sz w:val="20"/>
              </w:rPr>
            </w:pPr>
          </w:p>
        </w:tc>
        <w:tc>
          <w:tcPr>
            <w:tcW w:w="148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3939001.090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544200.980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3939005.708</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544316.504</w:t>
            </w:r>
          </w:p>
        </w:tc>
      </w:tr>
      <w:tr>
        <w:tblPrEx>
          <w:tblCellMar>
            <w:top w:w="0" w:type="dxa"/>
            <w:left w:w="108" w:type="dxa"/>
            <w:bottom w:w="0" w:type="dxa"/>
            <w:right w:w="108" w:type="dxa"/>
          </w:tblCellMar>
        </w:tblPrEx>
        <w:trPr>
          <w:trHeight w:val="255" w:hRule="atLeast"/>
        </w:trPr>
        <w:tc>
          <w:tcPr>
            <w:tcW w:w="84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jc w:val="left"/>
              <w:rPr>
                <w:rFonts w:ascii="宋体" w:hAnsi="宋体" w:cs="Arial"/>
                <w:kern w:val="0"/>
                <w:sz w:val="20"/>
              </w:rPr>
            </w:pPr>
          </w:p>
        </w:tc>
        <w:tc>
          <w:tcPr>
            <w:tcW w:w="148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6</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3939053.480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544173.990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3939058.098</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544289.514</w:t>
            </w:r>
          </w:p>
        </w:tc>
      </w:tr>
      <w:tr>
        <w:tblPrEx>
          <w:tblCellMar>
            <w:top w:w="0" w:type="dxa"/>
            <w:left w:w="108" w:type="dxa"/>
            <w:bottom w:w="0" w:type="dxa"/>
            <w:right w:w="108" w:type="dxa"/>
          </w:tblCellMar>
        </w:tblPrEx>
        <w:trPr>
          <w:trHeight w:val="255" w:hRule="atLeast"/>
        </w:trPr>
        <w:tc>
          <w:tcPr>
            <w:tcW w:w="84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jc w:val="left"/>
              <w:rPr>
                <w:rFonts w:ascii="宋体" w:hAnsi="宋体" w:cs="Arial"/>
                <w:kern w:val="0"/>
                <w:sz w:val="20"/>
              </w:rPr>
            </w:pPr>
          </w:p>
        </w:tc>
        <w:tc>
          <w:tcPr>
            <w:tcW w:w="148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7</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3939094.760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544176.370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3939099.378</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544291.894</w:t>
            </w:r>
          </w:p>
        </w:tc>
      </w:tr>
      <w:tr>
        <w:tblPrEx>
          <w:tblCellMar>
            <w:top w:w="0" w:type="dxa"/>
            <w:left w:w="108" w:type="dxa"/>
            <w:bottom w:w="0" w:type="dxa"/>
            <w:right w:w="108" w:type="dxa"/>
          </w:tblCellMar>
        </w:tblPrEx>
        <w:trPr>
          <w:trHeight w:val="255" w:hRule="atLeast"/>
        </w:trPr>
        <w:tc>
          <w:tcPr>
            <w:tcW w:w="846"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auto"/>
              <w:jc w:val="left"/>
              <w:rPr>
                <w:rFonts w:ascii="宋体" w:hAnsi="宋体" w:cs="Arial"/>
                <w:kern w:val="0"/>
                <w:sz w:val="20"/>
              </w:rPr>
            </w:pPr>
          </w:p>
        </w:tc>
        <w:tc>
          <w:tcPr>
            <w:tcW w:w="148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8</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3939114.970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544268.930</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3939119.588</w:t>
            </w:r>
          </w:p>
        </w:tc>
        <w:tc>
          <w:tcPr>
            <w:tcW w:w="1490" w:type="dxa"/>
            <w:tcBorders>
              <w:top w:val="nil"/>
              <w:left w:val="nil"/>
              <w:bottom w:val="single" w:color="auto" w:sz="4" w:space="0"/>
              <w:right w:val="single" w:color="auto" w:sz="4" w:space="0"/>
            </w:tcBorders>
            <w:noWrap/>
            <w:vAlign w:val="center"/>
          </w:tcPr>
          <w:p>
            <w:pPr>
              <w:widowControl/>
              <w:spacing w:line="240" w:lineRule="auto"/>
              <w:jc w:val="center"/>
              <w:rPr>
                <w:rFonts w:hint="eastAsia" w:ascii="宋体" w:hAnsi="宋体" w:cs="Arial"/>
                <w:kern w:val="0"/>
                <w:sz w:val="20"/>
              </w:rPr>
            </w:pPr>
            <w:r>
              <w:rPr>
                <w:rFonts w:hint="eastAsia" w:ascii="宋体" w:hAnsi="宋体" w:cs="Arial"/>
                <w:kern w:val="0"/>
                <w:sz w:val="20"/>
              </w:rPr>
              <w:t>544384.454</w:t>
            </w:r>
          </w:p>
        </w:tc>
      </w:tr>
    </w:tbl>
    <w:p>
      <w:pPr>
        <w:pStyle w:val="2"/>
        <w:rPr>
          <w:rFonts w:hint="eastAsia"/>
        </w:rPr>
      </w:pPr>
    </w:p>
    <w:p>
      <w:pPr>
        <w:pStyle w:val="5"/>
        <w:spacing w:before="0" w:after="120" w:line="360" w:lineRule="auto"/>
        <w:outlineLvl w:val="1"/>
        <w:rPr>
          <w:rFonts w:ascii="Times New Roman" w:hAnsi="Times New Roman" w:eastAsia="仿宋_GB2312"/>
          <w:sz w:val="30"/>
          <w:szCs w:val="30"/>
        </w:rPr>
      </w:pPr>
      <w:bookmarkStart w:id="54" w:name="_Toc27442"/>
      <w:r>
        <w:rPr>
          <w:rFonts w:ascii="Times New Roman" w:hAnsi="Times New Roman" w:eastAsia="仿宋_GB2312"/>
          <w:sz w:val="30"/>
          <w:szCs w:val="30"/>
        </w:rPr>
        <w:t>2.1.</w:t>
      </w:r>
      <w:r>
        <w:rPr>
          <w:rFonts w:hint="eastAsia" w:ascii="Times New Roman" w:hAnsi="Times New Roman" w:eastAsia="仿宋_GB2312"/>
          <w:sz w:val="30"/>
          <w:szCs w:val="30"/>
          <w:lang w:val="en-US" w:eastAsia="zh-CN"/>
        </w:rPr>
        <w:t>2项目组成及布局情况</w:t>
      </w:r>
      <w:bookmarkEnd w:id="54"/>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涉及的项目组成包括：采场防治区、加工场地防治区（新建）、场地道路防治区（新建）、输电线路防治区（利用原有）。</w:t>
      </w:r>
    </w:p>
    <w:p>
      <w:pPr>
        <w:spacing w:line="360" w:lineRule="auto"/>
        <w:ind w:firstLine="480" w:firstLineChars="200"/>
        <w:rPr>
          <w:rFonts w:ascii="Times New Roman" w:hAnsi="Times New Roman" w:eastAsia="仿宋_GB2312"/>
          <w:color w:val="auto"/>
          <w:sz w:val="24"/>
          <w:szCs w:val="24"/>
        </w:rPr>
      </w:pPr>
      <w:r>
        <w:rPr>
          <w:rFonts w:hint="eastAsia" w:ascii="Times New Roman" w:hAnsi="Times New Roman" w:eastAsia="仿宋_GB2312"/>
          <w:sz w:val="24"/>
          <w:szCs w:val="24"/>
        </w:rPr>
        <w:t>根据现场踏勘，采场矿体基本裸露，</w:t>
      </w:r>
      <w:r>
        <w:rPr>
          <w:rFonts w:hint="eastAsia" w:eastAsia="仿宋_GB2312"/>
          <w:sz w:val="24"/>
          <w:szCs w:val="24"/>
          <w:lang w:eastAsia="zh-CN"/>
        </w:rPr>
        <w:t>加工场地</w:t>
      </w:r>
      <w:r>
        <w:rPr>
          <w:rFonts w:hint="eastAsia" w:ascii="Times New Roman" w:hAnsi="Times New Roman" w:eastAsia="仿宋_GB2312"/>
          <w:sz w:val="24"/>
          <w:szCs w:val="24"/>
          <w:lang w:eastAsia="zh-CN"/>
        </w:rPr>
        <w:t>和</w:t>
      </w:r>
      <w:r>
        <w:rPr>
          <w:rFonts w:hint="eastAsia" w:eastAsia="仿宋_GB2312"/>
          <w:sz w:val="24"/>
          <w:szCs w:val="24"/>
          <w:lang w:eastAsia="zh-CN"/>
        </w:rPr>
        <w:t>场地道路</w:t>
      </w:r>
      <w:r>
        <w:rPr>
          <w:rFonts w:hint="eastAsia" w:ascii="Times New Roman" w:hAnsi="Times New Roman" w:eastAsia="仿宋_GB2312"/>
          <w:sz w:val="24"/>
          <w:szCs w:val="24"/>
          <w:lang w:eastAsia="zh-CN"/>
        </w:rPr>
        <w:t>尚未建设</w:t>
      </w:r>
      <w:r>
        <w:rPr>
          <w:rFonts w:hint="eastAsia" w:ascii="Times New Roman" w:hAnsi="Times New Roman" w:eastAsia="仿宋_GB2312"/>
          <w:sz w:val="24"/>
          <w:szCs w:val="24"/>
        </w:rPr>
        <w:t>，</w:t>
      </w:r>
      <w:r>
        <w:rPr>
          <w:rFonts w:hint="eastAsia" w:ascii="Times New Roman" w:hAnsi="Times New Roman" w:eastAsia="仿宋_GB2312"/>
          <w:sz w:val="24"/>
          <w:szCs w:val="24"/>
          <w:lang w:eastAsia="zh-CN"/>
        </w:rPr>
        <w:t>现场</w:t>
      </w:r>
      <w:r>
        <w:rPr>
          <w:rFonts w:hint="eastAsia" w:ascii="Times New Roman" w:hAnsi="Times New Roman" w:eastAsia="仿宋_GB2312"/>
          <w:sz w:val="24"/>
          <w:szCs w:val="24"/>
        </w:rPr>
        <w:t>无水土保持工程设施。</w:t>
      </w:r>
      <w:r>
        <w:rPr>
          <w:rFonts w:ascii="Times New Roman" w:hAnsi="Times New Roman" w:eastAsia="仿宋_GB2312"/>
          <w:color w:val="auto"/>
          <w:sz w:val="24"/>
          <w:szCs w:val="24"/>
        </w:rPr>
        <w:t>工程总体布局图详见附图</w:t>
      </w:r>
      <w:r>
        <w:rPr>
          <w:rFonts w:hint="eastAsia" w:ascii="Times New Roman" w:hAnsi="Times New Roman" w:eastAsia="仿宋_GB2312"/>
          <w:color w:val="auto"/>
          <w:sz w:val="24"/>
          <w:szCs w:val="24"/>
          <w:lang w:val="en-US" w:eastAsia="zh-CN"/>
        </w:rPr>
        <w:t>2</w:t>
      </w:r>
      <w:r>
        <w:rPr>
          <w:rFonts w:ascii="Times New Roman" w:hAnsi="Times New Roman" w:eastAsia="仿宋_GB2312"/>
          <w:color w:val="auto"/>
          <w:sz w:val="24"/>
          <w:szCs w:val="24"/>
        </w:rPr>
        <w:t>。</w:t>
      </w:r>
    </w:p>
    <w:p>
      <w:pPr>
        <w:spacing w:line="360" w:lineRule="auto"/>
        <w:outlineLvl w:val="3"/>
        <w:rPr>
          <w:rFonts w:hint="eastAsia" w:ascii="Times New Roman" w:hAnsi="Times New Roman" w:eastAsia="仿宋_GB2312"/>
          <w:b/>
          <w:bCs/>
          <w:sz w:val="24"/>
          <w:szCs w:val="24"/>
          <w:lang w:eastAsia="zh-CN"/>
        </w:rPr>
      </w:pPr>
      <w:r>
        <w:rPr>
          <w:rFonts w:ascii="Times New Roman" w:hAnsi="Times New Roman" w:eastAsia="仿宋_GB2312"/>
          <w:b/>
          <w:bCs/>
          <w:sz w:val="24"/>
          <w:szCs w:val="24"/>
        </w:rPr>
        <w:t>2.1.</w:t>
      </w:r>
      <w:r>
        <w:rPr>
          <w:rFonts w:hint="eastAsia" w:ascii="Times New Roman" w:hAnsi="Times New Roman" w:eastAsia="仿宋_GB2312"/>
          <w:b/>
          <w:bCs/>
          <w:sz w:val="24"/>
          <w:szCs w:val="24"/>
          <w:lang w:val="en-US" w:eastAsia="zh-CN"/>
        </w:rPr>
        <w:t>2</w:t>
      </w:r>
      <w:r>
        <w:rPr>
          <w:rFonts w:ascii="Times New Roman" w:hAnsi="Times New Roman" w:eastAsia="仿宋_GB2312"/>
          <w:b/>
          <w:bCs/>
          <w:sz w:val="24"/>
          <w:szCs w:val="24"/>
        </w:rPr>
        <w:t>.1</w:t>
      </w:r>
      <w:r>
        <w:rPr>
          <w:rFonts w:hint="eastAsia" w:eastAsia="仿宋_GB2312"/>
          <w:b/>
          <w:bCs/>
          <w:sz w:val="24"/>
          <w:szCs w:val="24"/>
          <w:lang w:eastAsia="zh-CN"/>
        </w:rPr>
        <w:t>采场</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根据开发利用方案，预测至开采终了，设计采场面积达到2.32hm</w:t>
      </w:r>
      <w:r>
        <w:rPr>
          <w:rFonts w:hint="eastAsia" w:ascii="Times New Roman" w:hAnsi="Times New Roman" w:eastAsia="仿宋_GB2312"/>
          <w:sz w:val="24"/>
          <w:szCs w:val="24"/>
          <w:vertAlign w:val="superscript"/>
        </w:rPr>
        <w:t>2</w:t>
      </w:r>
      <w:r>
        <w:rPr>
          <w:rFonts w:hint="eastAsia" w:ascii="Times New Roman" w:hAnsi="Times New Roman" w:eastAsia="仿宋_GB2312"/>
          <w:sz w:val="24"/>
          <w:szCs w:val="24"/>
        </w:rPr>
        <w:t>，主体设计未考虑采场的截、排水和绿化设计，方案新增采场的周边截水沟、马道排水沟和开采平台的覆土绿化措施。</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（一） 露天开采境界</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1、 露天开采境界圈定原则</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为了确保生产安全，同时使矿床开采获得最佳的经济效益，必须合理圈定露天开采境界，即合理确定开采的底部周界，最终边坡角及开采深度。本方案圈定露天开采境界主要遵循以下原则：</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⑴ 境界剥采比不大于经济合理剥采比。</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⑵ 要充分利用资源，尽可能把较多的矿石圈定在露天开采境界内，发挥露天开采的优越性。</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⑶ 最终露天境界边坡角不大于露天边坡稳定所允许的角度，避开严重影响边坡稳定的不良岩层对露天边坡稳定造成的严重后果。</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⑷ 不占耕地，尽量不占或少占林地。</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⑸ 尽量不破坏森林保护区，尽量避免造成矿区和附近人员搬迁。</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⑹ 尽量利用矿体底板标高作为露天底界。</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2、剥采比的确定</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① 经济合理剥采比</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价格法计算经济合理剥采比的原则是，露天开采的单位产品成本不高于产品的销售价格，计算经济合理剥采比公式：</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式中　r—矿石容重，单位：t/ m</w:t>
      </w:r>
      <w:r>
        <w:rPr>
          <w:rFonts w:hint="eastAsia" w:ascii="Times New Roman" w:hAnsi="Times New Roman" w:eastAsia="仿宋_GB2312"/>
          <w:sz w:val="24"/>
          <w:szCs w:val="24"/>
          <w:vertAlign w:val="superscript"/>
          <w:lang w:val="en-US" w:eastAsia="zh-CN"/>
        </w:rPr>
        <w:t>3</w:t>
      </w:r>
      <w:r>
        <w:rPr>
          <w:rFonts w:hint="eastAsia" w:ascii="Times New Roman" w:hAnsi="Times New Roman" w:eastAsia="仿宋_GB2312"/>
          <w:sz w:val="24"/>
          <w:szCs w:val="24"/>
          <w:lang w:val="en-US" w:eastAsia="zh-CN"/>
        </w:rPr>
        <w:t>；</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P0—原矿的价格，单位：元/t；</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a—露天开采的纯采矿成本(不包括剥离)，单位：元／t；</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b—露天开采剥离成本，15元／m</w:t>
      </w:r>
      <w:r>
        <w:rPr>
          <w:rFonts w:hint="eastAsia" w:ascii="Times New Roman" w:hAnsi="Times New Roman" w:eastAsia="仿宋_GB2312"/>
          <w:sz w:val="24"/>
          <w:szCs w:val="24"/>
          <w:vertAlign w:val="superscript"/>
          <w:lang w:val="en-US" w:eastAsia="zh-CN"/>
        </w:rPr>
        <w:t>3</w:t>
      </w:r>
      <w:r>
        <w:rPr>
          <w:rFonts w:hint="eastAsia" w:ascii="Times New Roman" w:hAnsi="Times New Roman" w:eastAsia="仿宋_GB2312"/>
          <w:sz w:val="24"/>
          <w:szCs w:val="24"/>
          <w:lang w:val="en-US" w:eastAsia="zh-CN"/>
        </w:rPr>
        <w:t>；</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nj—经济合理剥采比，m</w:t>
      </w:r>
      <w:r>
        <w:rPr>
          <w:rFonts w:hint="eastAsia" w:ascii="Times New Roman" w:hAnsi="Times New Roman" w:eastAsia="仿宋_GB2312"/>
          <w:sz w:val="24"/>
          <w:szCs w:val="24"/>
          <w:vertAlign w:val="superscript"/>
          <w:lang w:val="en-US" w:eastAsia="zh-CN"/>
        </w:rPr>
        <w:t>3</w:t>
      </w:r>
      <w:r>
        <w:rPr>
          <w:rFonts w:hint="eastAsia" w:ascii="Times New Roman" w:hAnsi="Times New Roman" w:eastAsia="仿宋_GB2312"/>
          <w:sz w:val="24"/>
          <w:szCs w:val="24"/>
          <w:lang w:val="en-US" w:eastAsia="zh-CN"/>
        </w:rPr>
        <w:t>/m</w:t>
      </w:r>
      <w:r>
        <w:rPr>
          <w:rFonts w:hint="eastAsia" w:ascii="Times New Roman" w:hAnsi="Times New Roman" w:eastAsia="仿宋_GB2312"/>
          <w:sz w:val="24"/>
          <w:szCs w:val="24"/>
          <w:vertAlign w:val="superscript"/>
          <w:lang w:val="en-US" w:eastAsia="zh-CN"/>
        </w:rPr>
        <w:t>3</w:t>
      </w:r>
      <w:r>
        <w:rPr>
          <w:rFonts w:hint="eastAsia" w:ascii="Times New Roman" w:hAnsi="Times New Roman" w:eastAsia="仿宋_GB2312"/>
          <w:sz w:val="24"/>
          <w:szCs w:val="24"/>
          <w:lang w:val="en-US" w:eastAsia="zh-CN"/>
        </w:rPr>
        <w:t>。</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西区没有剥离物，不计算剥采比。东区开采片麻岩和石英岩矿，二者容重、采矿成本、原矿价格均不同，容重、采矿成本、原矿价格取值按照设计利用资源量求取其加权平均值，通过计算，经济剥采比为1.44m</w:t>
      </w:r>
      <w:r>
        <w:rPr>
          <w:rFonts w:hint="eastAsia" w:ascii="Times New Roman" w:hAnsi="Times New Roman" w:eastAsia="仿宋_GB2312"/>
          <w:sz w:val="24"/>
          <w:szCs w:val="24"/>
          <w:vertAlign w:val="superscript"/>
          <w:lang w:val="en-US" w:eastAsia="zh-CN"/>
        </w:rPr>
        <w:t>3</w:t>
      </w:r>
      <w:r>
        <w:rPr>
          <w:rFonts w:hint="eastAsia" w:ascii="Times New Roman" w:hAnsi="Times New Roman" w:eastAsia="仿宋_GB2312"/>
          <w:sz w:val="24"/>
          <w:szCs w:val="24"/>
          <w:lang w:val="en-US" w:eastAsia="zh-CN"/>
        </w:rPr>
        <w:t>/m</w:t>
      </w:r>
      <w:r>
        <w:rPr>
          <w:rFonts w:hint="eastAsia" w:ascii="Times New Roman" w:hAnsi="Times New Roman" w:eastAsia="仿宋_GB2312"/>
          <w:sz w:val="24"/>
          <w:szCs w:val="24"/>
          <w:vertAlign w:val="superscript"/>
          <w:lang w:val="en-US" w:eastAsia="zh-CN"/>
        </w:rPr>
        <w:t>3</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②平均剥采比</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为达到了解开采境界范围内剥离总量与矿石总量的量的关系，需计算平均剥采比，计算公式为：</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Njp=T / Q</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 xml:space="preserve"> 式中：Njp—平均剥采比（m</w:t>
      </w:r>
      <w:r>
        <w:rPr>
          <w:rFonts w:hint="eastAsia" w:ascii="Times New Roman" w:hAnsi="Times New Roman" w:eastAsia="仿宋_GB2312"/>
          <w:sz w:val="24"/>
          <w:szCs w:val="24"/>
          <w:vertAlign w:val="superscript"/>
          <w:lang w:val="en-US" w:eastAsia="zh-CN"/>
        </w:rPr>
        <w:t>3</w:t>
      </w:r>
      <w:r>
        <w:rPr>
          <w:rFonts w:hint="eastAsia" w:ascii="Times New Roman" w:hAnsi="Times New Roman" w:eastAsia="仿宋_GB2312"/>
          <w:sz w:val="24"/>
          <w:szCs w:val="24"/>
          <w:lang w:val="en-US" w:eastAsia="zh-CN"/>
        </w:rPr>
        <w:t>/m</w:t>
      </w:r>
      <w:r>
        <w:rPr>
          <w:rFonts w:hint="eastAsia" w:ascii="Times New Roman" w:hAnsi="Times New Roman" w:eastAsia="仿宋_GB2312"/>
          <w:sz w:val="24"/>
          <w:szCs w:val="24"/>
          <w:vertAlign w:val="superscript"/>
          <w:lang w:val="en-US" w:eastAsia="zh-CN"/>
        </w:rPr>
        <w:t>3</w:t>
      </w:r>
      <w:r>
        <w:rPr>
          <w:rFonts w:hint="eastAsia" w:ascii="Times New Roman" w:hAnsi="Times New Roman" w:eastAsia="仿宋_GB2312"/>
          <w:sz w:val="24"/>
          <w:szCs w:val="24"/>
          <w:lang w:val="en-US" w:eastAsia="zh-CN"/>
        </w:rPr>
        <w:t>）</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T—开采境界内岩石总量（m</w:t>
      </w:r>
      <w:r>
        <w:rPr>
          <w:rFonts w:hint="eastAsia" w:ascii="Times New Roman" w:hAnsi="Times New Roman" w:eastAsia="仿宋_GB2312"/>
          <w:sz w:val="24"/>
          <w:szCs w:val="24"/>
          <w:vertAlign w:val="superscript"/>
          <w:lang w:val="en-US" w:eastAsia="zh-CN"/>
        </w:rPr>
        <w:t>3</w:t>
      </w:r>
      <w:r>
        <w:rPr>
          <w:rFonts w:hint="eastAsia" w:ascii="Times New Roman" w:hAnsi="Times New Roman" w:eastAsia="仿宋_GB2312"/>
          <w:sz w:val="24"/>
          <w:szCs w:val="24"/>
          <w:lang w:val="en-US" w:eastAsia="zh-CN"/>
        </w:rPr>
        <w:t>）</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Q—开采境界内矿石总量（m</w:t>
      </w:r>
      <w:r>
        <w:rPr>
          <w:rFonts w:hint="eastAsia" w:ascii="Times New Roman" w:hAnsi="Times New Roman" w:eastAsia="仿宋_GB2312"/>
          <w:sz w:val="24"/>
          <w:szCs w:val="24"/>
          <w:vertAlign w:val="superscript"/>
          <w:lang w:val="en-US" w:eastAsia="zh-CN"/>
        </w:rPr>
        <w:t>3</w:t>
      </w:r>
      <w:r>
        <w:rPr>
          <w:rFonts w:hint="eastAsia" w:ascii="Times New Roman" w:hAnsi="Times New Roman" w:eastAsia="仿宋_GB2312"/>
          <w:sz w:val="24"/>
          <w:szCs w:val="24"/>
          <w:lang w:val="en-US" w:eastAsia="zh-CN"/>
        </w:rPr>
        <w:t>）</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本区T=0.53m3，Q=28.43m</w:t>
      </w:r>
      <w:r>
        <w:rPr>
          <w:rFonts w:hint="eastAsia" w:ascii="Times New Roman" w:hAnsi="Times New Roman" w:eastAsia="仿宋_GB2312"/>
          <w:sz w:val="24"/>
          <w:szCs w:val="24"/>
          <w:vertAlign w:val="superscript"/>
          <w:lang w:val="en-US" w:eastAsia="zh-CN"/>
        </w:rPr>
        <w:t>3</w:t>
      </w:r>
      <w:r>
        <w:rPr>
          <w:rFonts w:hint="eastAsia" w:ascii="Times New Roman" w:hAnsi="Times New Roman" w:eastAsia="仿宋_GB2312"/>
          <w:sz w:val="24"/>
          <w:szCs w:val="24"/>
          <w:lang w:val="en-US" w:eastAsia="zh-CN"/>
        </w:rPr>
        <w:t>，本区平均剥采比约为0.019m</w:t>
      </w:r>
      <w:r>
        <w:rPr>
          <w:rFonts w:hint="eastAsia" w:ascii="Times New Roman" w:hAnsi="Times New Roman" w:eastAsia="仿宋_GB2312"/>
          <w:sz w:val="24"/>
          <w:szCs w:val="24"/>
          <w:vertAlign w:val="superscript"/>
          <w:lang w:val="en-US" w:eastAsia="zh-CN"/>
        </w:rPr>
        <w:t>3</w:t>
      </w:r>
      <w:r>
        <w:rPr>
          <w:rFonts w:hint="eastAsia" w:ascii="Times New Roman" w:hAnsi="Times New Roman" w:eastAsia="仿宋_GB2312"/>
          <w:sz w:val="24"/>
          <w:szCs w:val="24"/>
          <w:lang w:val="en-US" w:eastAsia="zh-CN"/>
        </w:rPr>
        <w:t>/m</w:t>
      </w:r>
      <w:r>
        <w:rPr>
          <w:rFonts w:hint="eastAsia" w:ascii="Times New Roman" w:hAnsi="Times New Roman" w:eastAsia="仿宋_GB2312"/>
          <w:sz w:val="24"/>
          <w:szCs w:val="24"/>
          <w:vertAlign w:val="superscript"/>
          <w:lang w:val="en-US" w:eastAsia="zh-CN"/>
        </w:rPr>
        <w:t>3</w:t>
      </w:r>
      <w:r>
        <w:rPr>
          <w:rFonts w:hint="eastAsia" w:ascii="Times New Roman" w:hAnsi="Times New Roman" w:eastAsia="仿宋_GB2312"/>
          <w:sz w:val="24"/>
          <w:szCs w:val="24"/>
          <w:lang w:val="en-US" w:eastAsia="zh-CN"/>
        </w:rPr>
        <w:t>，小于经济合理剥采比，故本方案设计的开采方案经济上合理。</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3、 剥采比的确定</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矿山剥离量主要位于东采场，采矿方法采用露天开采，自上而下分台阶剥离开采。因此，本方案不计算均衡生产剥采比。</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（二） 露天开拓运输方式、采场构成要素及其技术参数</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1、 露天开拓运输方式</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本区采用公路开拓，直进式汽车运输方案。</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运矿道路起点为各采准采矿工作面，终点为破碎卸料平台。运矿道路按GBJ22-87“厂矿道路设计规范”设计，道路等级为III级，运矿道路路面宽11m，最大纵坡9.0%，平均纵坡&lt;6.5%，最小回头曲线半径15m，缓和坡段最小长80m，采用泥结碎石路面。</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2、采场构成要素</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（1）西采场</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采场最高开采标高：      702m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采场最低开采标高：      650m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采场垂直深度：          52m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采场上口长度：          110m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采场上口宽度：          100m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650m最终平台长度：     80m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650m最终平台宽度：     60m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开采台阶坡面角         70°</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采场最终边坡角：       53～52°</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台阶高度 ：            10m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安全平台宽度：         4.0m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清扫平台宽度：         6.0m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采场终了阶段：690、680、670、660和650共5个台阶。</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（2）东采场</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采场最高开采标高：      736.5m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采场最低开采标高：      665m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采场垂直深度：          71.5m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采场上口长度：          200m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采场上口宽度：          60m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665m最终平台长度：     40m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665m最终平台宽度：     26m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基岩开采台阶坡面角：    70°</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松散层开采台阶坡面角    45°</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采场最终边坡角：       58～52°</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台阶高度 ：            10m（725m阶段台阶高度11.5m）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安全平台宽度：         4.0m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清扫平台宽度：         6.0m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采场终了阶段：725、715、705、695、685、675和665共7个台阶。</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3、露天采场最小工作平台宽度的确定</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经计算最小工作平台宽度Bmin=18.0m。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4、露天采场最小底宽的确定</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⑴ 本方案推荐（矿山在用）的运输工具为型号陕汽奥龙重卡 380马力 8×4 自卸车(SX3315TT456)。</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⑵ 当汽车开拓运输采用回转调车时，采场底盘最小宽度用以下公式计算：</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B=2×(R+ 0.5bc+e)</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B—采场底盘最小宽度(m)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R—汽车最小转弯半径(m)，本方案推荐汽车最小转弯半径为8.25m。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bc—运输设备宽度，m;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e—运输设备与挖掘设备、边坡坡面的安全距离，一般取0.5m。经计算，底盘最小宽度=2×(8.25+ 0.5×2.3+0.5)=19.8m。故本方案确定底盘最小宽度≥20m。</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5、开采方法</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本次设计开采境界内西采场为块状片麻岩矿体，东采场开采境界内矿体有片麻岩和石英岩，按岩石坚硬程度分类属中等坚硬岩石，物理性质均一。</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根据矿体的物理力学性质，设计采用中深孔爆破落矿，卡特140破碎锤将≥0.60m大块进一步破碎，VOLVO690型液压反铲挖掘机挖掘，德工250型装载机将矿石装入自卸汽车运送到加工场地。</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（三）开采顺序</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本区西采场和东采场均有前期开采的高陡边坡，开采前需对高陡边坡进行治理，设计采场采剥工程必须在治理工程结束后进行。</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1、根据矿层赋存条件和矿山地形，矿山开采采用自上而下的水平分台阶开采。西采场从最高的690m水平开始逐级向下水平推进。</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2、石英岩矿体倾角8°，倾向与采场方向斜交，矿体平均厚度10.41m，平均底板标高约为715m标高，东采场先开采石英岩，次开采片麻岩，从最高的725m水平开始逐级向下推进。</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3、推进方向：根据矿区地形地质条件，工作线沿地形线方向布置，垂直地形线推进。即台阶推进方向为沿地形等高线方向掘各台阶，拉开工作线后向最终边坡方向推进。</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4、开采过程应遵循的原则是必须将矿体划分成水平台阶，从上至下进行开采，不允许在上阶段未开采的情况下就开采下部矿层。</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5、开采计划</w:t>
      </w:r>
    </w:p>
    <w:p>
      <w:pPr>
        <w:spacing w:line="360" w:lineRule="auto"/>
        <w:ind w:firstLine="480" w:firstLineChars="200"/>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矿山西采场（片麻岩Ⅰ矿体）剩余服务年限2.3年，东采场（片麻岩Ⅱ矿体）剩余服务年限2.77年，东采场石英岩剩余服务年限为0.45年，矿山服务年限5.52年。开采顺序为片麻岩Ⅰ矿体→石英岩→片麻岩Ⅱ矿体，投产第1年开采西采场片麻岩Ⅰ矿体690、680和670台阶。投产第2年开采Ⅰ矿体670、660和650台阶，东采场石英岩。投产第3年东采场石英岩715台阶、片麻岩Ⅱ矿体705台阶。第4年开采东采场片麻岩Ⅱ矿体705和695台阶。第五年开采片麻岩Ⅱ矿体695和685和。第六年开采片麻岩Ⅱ矿体685、675和665台阶。</w:t>
      </w:r>
    </w:p>
    <w:p>
      <w:pPr>
        <w:spacing w:line="360" w:lineRule="auto"/>
        <w:outlineLvl w:val="3"/>
        <w:rPr>
          <w:rFonts w:hint="eastAsia" w:ascii="Times New Roman" w:hAnsi="Times New Roman" w:eastAsia="仿宋_GB2312"/>
          <w:b/>
          <w:bCs/>
          <w:sz w:val="24"/>
          <w:szCs w:val="24"/>
          <w:lang w:eastAsia="zh-CN"/>
        </w:rPr>
      </w:pPr>
      <w:r>
        <w:rPr>
          <w:rFonts w:ascii="Times New Roman" w:hAnsi="Times New Roman" w:eastAsia="仿宋_GB2312"/>
          <w:b/>
          <w:bCs/>
          <w:sz w:val="24"/>
          <w:szCs w:val="24"/>
        </w:rPr>
        <w:t>2.1.</w:t>
      </w:r>
      <w:r>
        <w:rPr>
          <w:rFonts w:hint="eastAsia" w:ascii="Times New Roman" w:hAnsi="Times New Roman" w:eastAsia="仿宋_GB2312"/>
          <w:b/>
          <w:bCs/>
          <w:sz w:val="24"/>
          <w:szCs w:val="24"/>
          <w:lang w:val="en-US" w:eastAsia="zh-CN"/>
        </w:rPr>
        <w:t>2</w:t>
      </w:r>
      <w:r>
        <w:rPr>
          <w:rFonts w:ascii="Times New Roman" w:hAnsi="Times New Roman" w:eastAsia="仿宋_GB2312"/>
          <w:b/>
          <w:bCs/>
          <w:sz w:val="24"/>
          <w:szCs w:val="24"/>
        </w:rPr>
        <w:t>.</w:t>
      </w:r>
      <w:r>
        <w:rPr>
          <w:rFonts w:hint="eastAsia" w:ascii="Times New Roman" w:hAnsi="Times New Roman" w:eastAsia="仿宋_GB2312"/>
          <w:b/>
          <w:bCs/>
          <w:sz w:val="24"/>
          <w:szCs w:val="24"/>
          <w:lang w:val="en-US" w:eastAsia="zh-CN"/>
        </w:rPr>
        <w:t>2加工场地</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设计在矿区外西区北西侧约310m处新建建设加工场地，占地面积约0.36hm</w:t>
      </w:r>
      <w:r>
        <w:rPr>
          <w:rFonts w:hint="eastAsia" w:ascii="Times New Roman" w:hAnsi="Times New Roman" w:eastAsia="仿宋_GB2312"/>
          <w:sz w:val="24"/>
          <w:szCs w:val="24"/>
          <w:vertAlign w:val="superscript"/>
        </w:rPr>
        <w:t>2</w:t>
      </w:r>
      <w:r>
        <w:rPr>
          <w:rFonts w:hint="eastAsia" w:ascii="Times New Roman" w:hAnsi="Times New Roman" w:eastAsia="仿宋_GB2312"/>
          <w:sz w:val="24"/>
          <w:szCs w:val="24"/>
        </w:rPr>
        <w:t>，场地安装石料破碎筛分设备，建设维修车间、配电室等，用于石料加工。方案新增加工场地排水沟设计。</w:t>
      </w:r>
    </w:p>
    <w:p>
      <w:pPr>
        <w:spacing w:line="360" w:lineRule="auto"/>
        <w:outlineLvl w:val="3"/>
        <w:rPr>
          <w:rFonts w:hint="eastAsia" w:ascii="Times New Roman" w:hAnsi="Times New Roman" w:eastAsia="仿宋_GB2312"/>
          <w:b/>
          <w:bCs/>
          <w:sz w:val="24"/>
          <w:szCs w:val="24"/>
          <w:lang w:eastAsia="zh-CN"/>
        </w:rPr>
      </w:pPr>
      <w:r>
        <w:rPr>
          <w:rFonts w:ascii="Times New Roman" w:hAnsi="Times New Roman" w:eastAsia="仿宋_GB2312"/>
          <w:b/>
          <w:bCs/>
          <w:sz w:val="24"/>
          <w:szCs w:val="24"/>
        </w:rPr>
        <w:t>2.1.</w:t>
      </w:r>
      <w:r>
        <w:rPr>
          <w:rFonts w:hint="eastAsia" w:ascii="Times New Roman" w:hAnsi="Times New Roman" w:eastAsia="仿宋_GB2312"/>
          <w:b/>
          <w:bCs/>
          <w:sz w:val="24"/>
          <w:szCs w:val="24"/>
          <w:lang w:val="en-US" w:eastAsia="zh-CN"/>
        </w:rPr>
        <w:t>2</w:t>
      </w:r>
      <w:r>
        <w:rPr>
          <w:rFonts w:ascii="Times New Roman" w:hAnsi="Times New Roman" w:eastAsia="仿宋_GB2312"/>
          <w:b/>
          <w:bCs/>
          <w:sz w:val="24"/>
          <w:szCs w:val="24"/>
        </w:rPr>
        <w:t>.</w:t>
      </w:r>
      <w:r>
        <w:rPr>
          <w:rFonts w:hint="eastAsia" w:eastAsia="仿宋_GB2312"/>
          <w:b/>
          <w:bCs/>
          <w:sz w:val="24"/>
          <w:szCs w:val="24"/>
          <w:lang w:val="en-US" w:eastAsia="zh-CN"/>
        </w:rPr>
        <w:t>3场地道路</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建连接采场和加工场地的场地道路，场地道路长2050m，宽4m，占地0.82hm</w:t>
      </w:r>
      <w:r>
        <w:rPr>
          <w:rFonts w:hint="eastAsia" w:ascii="Times New Roman" w:hAnsi="Times New Roman" w:eastAsia="仿宋_GB2312"/>
          <w:sz w:val="24"/>
          <w:szCs w:val="24"/>
          <w:vertAlign w:val="superscript"/>
        </w:rPr>
        <w:t>2</w:t>
      </w:r>
      <w:r>
        <w:rPr>
          <w:rFonts w:hint="eastAsia" w:ascii="Times New Roman" w:hAnsi="Times New Roman" w:eastAsia="仿宋_GB2312"/>
          <w:sz w:val="24"/>
          <w:szCs w:val="24"/>
        </w:rPr>
        <w:t>，道路两侧自然植被良好，方案新增道路一侧排水沟设计。</w:t>
      </w:r>
    </w:p>
    <w:p>
      <w:pPr>
        <w:spacing w:line="360" w:lineRule="auto"/>
        <w:outlineLvl w:val="3"/>
        <w:rPr>
          <w:rFonts w:hint="eastAsia" w:ascii="Times New Roman" w:hAnsi="Times New Roman" w:eastAsia="仿宋_GB2312"/>
          <w:b/>
          <w:bCs/>
          <w:sz w:val="24"/>
          <w:szCs w:val="24"/>
          <w:lang w:eastAsia="zh-CN"/>
        </w:rPr>
      </w:pPr>
      <w:r>
        <w:rPr>
          <w:rFonts w:ascii="Times New Roman" w:hAnsi="Times New Roman" w:eastAsia="仿宋_GB2312"/>
          <w:b/>
          <w:bCs/>
          <w:sz w:val="24"/>
          <w:szCs w:val="24"/>
        </w:rPr>
        <w:t>2.1.</w:t>
      </w:r>
      <w:r>
        <w:rPr>
          <w:rFonts w:hint="eastAsia" w:ascii="Times New Roman" w:hAnsi="Times New Roman" w:eastAsia="仿宋_GB2312"/>
          <w:b/>
          <w:bCs/>
          <w:sz w:val="24"/>
          <w:szCs w:val="24"/>
          <w:lang w:val="en-US" w:eastAsia="zh-CN"/>
        </w:rPr>
        <w:t>2</w:t>
      </w:r>
      <w:r>
        <w:rPr>
          <w:rFonts w:ascii="Times New Roman" w:hAnsi="Times New Roman" w:eastAsia="仿宋_GB2312"/>
          <w:b/>
          <w:bCs/>
          <w:sz w:val="24"/>
          <w:szCs w:val="24"/>
        </w:rPr>
        <w:t>.</w:t>
      </w:r>
      <w:r>
        <w:rPr>
          <w:rFonts w:hint="eastAsia" w:eastAsia="仿宋_GB2312"/>
          <w:b/>
          <w:bCs/>
          <w:sz w:val="24"/>
          <w:szCs w:val="24"/>
          <w:lang w:val="en-US" w:eastAsia="zh-CN"/>
        </w:rPr>
        <w:t>3输电线路</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矿场用电从裴南庄村变压器引接10KV线路到矿区变压器，送电距离约1500m，线路架设完成多年，架设时扰动的地面均已恢复植被，占地0.01hm</w:t>
      </w:r>
      <w:r>
        <w:rPr>
          <w:rFonts w:hint="eastAsia" w:ascii="Times New Roman" w:hAnsi="Times New Roman" w:eastAsia="仿宋_GB2312"/>
          <w:sz w:val="24"/>
          <w:szCs w:val="24"/>
          <w:vertAlign w:val="superscript"/>
        </w:rPr>
        <w:t>2</w:t>
      </w:r>
      <w:r>
        <w:rPr>
          <w:rFonts w:hint="eastAsia" w:ascii="Times New Roman" w:hAnsi="Times New Roman" w:eastAsia="仿宋_GB2312"/>
          <w:sz w:val="24"/>
          <w:szCs w:val="24"/>
        </w:rPr>
        <w:t>。</w:t>
      </w:r>
    </w:p>
    <w:p>
      <w:pPr>
        <w:pStyle w:val="4"/>
        <w:spacing w:before="120" w:after="120" w:line="360" w:lineRule="auto"/>
        <w:ind w:firstLine="0"/>
        <w:outlineLvl w:val="0"/>
        <w:rPr>
          <w:rFonts w:ascii="Times New Roman" w:hAnsi="Times New Roman" w:eastAsia="仿宋_GB2312" w:cs="Times New Roman"/>
          <w:b/>
          <w:bCs/>
          <w:sz w:val="32"/>
          <w:szCs w:val="32"/>
        </w:rPr>
      </w:pPr>
      <w:bookmarkStart w:id="55" w:name="_Toc29884"/>
      <w:r>
        <w:rPr>
          <w:rFonts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lang w:val="en-US" w:eastAsia="zh-CN"/>
        </w:rPr>
        <w:t>2</w:t>
      </w:r>
      <w:r>
        <w:rPr>
          <w:rFonts w:ascii="Times New Roman" w:hAnsi="Times New Roman" w:eastAsia="仿宋_GB2312" w:cs="Times New Roman"/>
          <w:b/>
          <w:bCs/>
          <w:sz w:val="32"/>
          <w:szCs w:val="32"/>
        </w:rPr>
        <w:t>施工组织</w:t>
      </w:r>
      <w:bookmarkEnd w:id="55"/>
    </w:p>
    <w:p>
      <w:pPr>
        <w:pStyle w:val="5"/>
        <w:spacing w:before="0" w:after="120" w:line="360" w:lineRule="auto"/>
        <w:outlineLvl w:val="1"/>
        <w:rPr>
          <w:rFonts w:ascii="Times New Roman" w:hAnsi="Times New Roman" w:eastAsia="仿宋_GB2312"/>
          <w:sz w:val="30"/>
          <w:szCs w:val="30"/>
        </w:rPr>
      </w:pPr>
      <w:bookmarkStart w:id="56" w:name="_Toc25297"/>
      <w:r>
        <w:rPr>
          <w:rFonts w:ascii="Times New Roman" w:hAnsi="Times New Roman" w:eastAsia="仿宋_GB2312"/>
          <w:sz w:val="30"/>
          <w:szCs w:val="30"/>
        </w:rPr>
        <w:t>2.</w:t>
      </w:r>
      <w:r>
        <w:rPr>
          <w:rFonts w:hint="eastAsia" w:ascii="Times New Roman" w:hAnsi="Times New Roman" w:eastAsia="仿宋_GB2312"/>
          <w:sz w:val="30"/>
          <w:szCs w:val="30"/>
          <w:lang w:val="en-US" w:eastAsia="zh-CN"/>
        </w:rPr>
        <w:t>2</w:t>
      </w:r>
      <w:r>
        <w:rPr>
          <w:rFonts w:ascii="Times New Roman" w:hAnsi="Times New Roman" w:eastAsia="仿宋_GB2312"/>
          <w:sz w:val="30"/>
          <w:szCs w:val="30"/>
        </w:rPr>
        <w:t>.1施工布置</w:t>
      </w:r>
      <w:bookmarkEnd w:id="56"/>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本项目由</w:t>
      </w:r>
      <w:r>
        <w:rPr>
          <w:rFonts w:hint="eastAsia" w:ascii="Times New Roman" w:hAnsi="Times New Roman" w:eastAsia="仿宋_GB2312"/>
          <w:sz w:val="24"/>
          <w:lang w:eastAsia="zh-CN"/>
        </w:rPr>
        <w:t>曲沃县自得建材有限公司</w:t>
      </w:r>
      <w:r>
        <w:rPr>
          <w:rFonts w:ascii="Times New Roman" w:hAnsi="Times New Roman" w:eastAsia="仿宋_GB2312"/>
          <w:sz w:val="24"/>
          <w:szCs w:val="24"/>
        </w:rPr>
        <w:t>负责组织管理，工程设计、施工监理均采取招投标形式确定。施工人员均为附近村庄村民，不设施工生活区。</w:t>
      </w:r>
    </w:p>
    <w:p>
      <w:pPr>
        <w:pStyle w:val="5"/>
        <w:spacing w:before="0" w:after="120" w:line="360" w:lineRule="auto"/>
        <w:outlineLvl w:val="1"/>
        <w:rPr>
          <w:rFonts w:ascii="Times New Roman" w:hAnsi="Times New Roman" w:eastAsia="仿宋_GB2312"/>
          <w:sz w:val="30"/>
          <w:szCs w:val="30"/>
        </w:rPr>
      </w:pPr>
      <w:bookmarkStart w:id="57" w:name="_Toc3817"/>
      <w:r>
        <w:rPr>
          <w:rFonts w:ascii="Times New Roman" w:hAnsi="Times New Roman" w:eastAsia="仿宋_GB2312"/>
          <w:sz w:val="30"/>
          <w:szCs w:val="30"/>
        </w:rPr>
        <w:t>2.</w:t>
      </w:r>
      <w:r>
        <w:rPr>
          <w:rFonts w:hint="eastAsia" w:ascii="Times New Roman" w:hAnsi="Times New Roman" w:eastAsia="仿宋_GB2312"/>
          <w:sz w:val="30"/>
          <w:szCs w:val="30"/>
          <w:lang w:val="en-US" w:eastAsia="zh-CN"/>
        </w:rPr>
        <w:t>2</w:t>
      </w:r>
      <w:r>
        <w:rPr>
          <w:rFonts w:ascii="Times New Roman" w:hAnsi="Times New Roman" w:eastAsia="仿宋_GB2312"/>
          <w:sz w:val="30"/>
          <w:szCs w:val="30"/>
        </w:rPr>
        <w:t>.2施工工艺</w:t>
      </w:r>
      <w:bookmarkEnd w:id="57"/>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本项目涉及项目有采场防治区、加工场地防治区（新建）、场地道路防治区（新建）等，与水土保持相关的施工工艺主要为地面土建工程，土建工程中的土方工程采用机械为主、人工配合施工，砌筑工程采取人工为主、机械配合施工。</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在采场开采过程中松散层和岩石层的剥离方式，基本是一致的，差别是剥离物料是电铲直接挖掘松散层，或是剥离物料是挖掘爆破后的岩石层，岩石层间的夹石层也需要经过爆破后由电铲挖掘。卡车运输，挖掘机之字型采掘平装车，采矿台阶采用倾斜分层。露天采场采出的矿、岩均采用公路—汽车运输。</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根据采场周边地形条件，设计将运输道路布置在采场之外。开采时采取直进式进车。</w:t>
      </w:r>
    </w:p>
    <w:p>
      <w:pPr>
        <w:pStyle w:val="5"/>
        <w:spacing w:before="0" w:after="120" w:line="360" w:lineRule="auto"/>
        <w:outlineLvl w:val="1"/>
        <w:rPr>
          <w:rFonts w:ascii="Times New Roman" w:hAnsi="Times New Roman" w:eastAsia="仿宋_GB2312"/>
          <w:sz w:val="30"/>
          <w:szCs w:val="30"/>
        </w:rPr>
      </w:pPr>
      <w:bookmarkStart w:id="58" w:name="_Toc9289"/>
      <w:r>
        <w:rPr>
          <w:rFonts w:ascii="Times New Roman" w:hAnsi="Times New Roman" w:eastAsia="仿宋_GB2312"/>
          <w:sz w:val="30"/>
          <w:szCs w:val="30"/>
        </w:rPr>
        <w:t>2.</w:t>
      </w:r>
      <w:r>
        <w:rPr>
          <w:rFonts w:hint="eastAsia" w:ascii="Times New Roman" w:hAnsi="Times New Roman" w:eastAsia="仿宋_GB2312"/>
          <w:sz w:val="30"/>
          <w:szCs w:val="30"/>
          <w:lang w:val="en-US" w:eastAsia="zh-CN"/>
        </w:rPr>
        <w:t>2</w:t>
      </w:r>
      <w:r>
        <w:rPr>
          <w:rFonts w:ascii="Times New Roman" w:hAnsi="Times New Roman" w:eastAsia="仿宋_GB2312"/>
          <w:sz w:val="30"/>
          <w:szCs w:val="30"/>
        </w:rPr>
        <w:t>.3施工能力</w:t>
      </w:r>
      <w:bookmarkEnd w:id="58"/>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1）施工用电：</w:t>
      </w:r>
      <w:r>
        <w:rPr>
          <w:rFonts w:hint="eastAsia" w:ascii="Times New Roman" w:hAnsi="Times New Roman" w:eastAsia="仿宋_GB2312"/>
          <w:sz w:val="24"/>
          <w:szCs w:val="24"/>
          <w:lang w:eastAsia="zh-CN"/>
        </w:rPr>
        <w:t>发电机组供电</w:t>
      </w:r>
      <w:r>
        <w:rPr>
          <w:rFonts w:ascii="Times New Roman" w:hAnsi="Times New Roman" w:eastAsia="仿宋_GB2312"/>
          <w:sz w:val="24"/>
          <w:szCs w:val="24"/>
        </w:rPr>
        <w:t>。</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2）施工用水：采用水车拉水。</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3）施工通讯：利用无线通讯设施。</w:t>
      </w:r>
    </w:p>
    <w:p>
      <w:pPr>
        <w:pStyle w:val="5"/>
        <w:spacing w:before="0" w:after="120" w:line="360" w:lineRule="auto"/>
        <w:outlineLvl w:val="1"/>
        <w:rPr>
          <w:rFonts w:ascii="Times New Roman" w:hAnsi="Times New Roman" w:eastAsia="仿宋_GB2312"/>
          <w:sz w:val="30"/>
          <w:szCs w:val="30"/>
        </w:rPr>
      </w:pPr>
      <w:bookmarkStart w:id="59" w:name="_Toc24860"/>
      <w:r>
        <w:rPr>
          <w:rFonts w:ascii="Times New Roman" w:hAnsi="Times New Roman" w:eastAsia="仿宋_GB2312"/>
          <w:sz w:val="30"/>
          <w:szCs w:val="30"/>
        </w:rPr>
        <w:t>2.</w:t>
      </w:r>
      <w:r>
        <w:rPr>
          <w:rFonts w:hint="eastAsia" w:ascii="Times New Roman" w:hAnsi="Times New Roman" w:eastAsia="仿宋_GB2312"/>
          <w:sz w:val="30"/>
          <w:szCs w:val="30"/>
          <w:lang w:val="en-US" w:eastAsia="zh-CN"/>
        </w:rPr>
        <w:t>2</w:t>
      </w:r>
      <w:r>
        <w:rPr>
          <w:rFonts w:ascii="Times New Roman" w:hAnsi="Times New Roman" w:eastAsia="仿宋_GB2312"/>
          <w:sz w:val="30"/>
          <w:szCs w:val="30"/>
        </w:rPr>
        <w:t>.4材料来源</w:t>
      </w:r>
      <w:bookmarkEnd w:id="59"/>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工程设计施工建筑材料外购，在满足生产工艺要求的前提下，合理使用资金，尽量采用新技术、新产品，使其满足现代化工厂企业生产的要求。</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工程建设所需的建材，如水泥、石料、砂子等当地可以满足供应，由此产生的水土流失防治责任由供料方承担。钢材、木材需由外地购进。</w:t>
      </w:r>
    </w:p>
    <w:p>
      <w:pPr>
        <w:pStyle w:val="4"/>
        <w:spacing w:before="120" w:after="120" w:line="360" w:lineRule="auto"/>
        <w:ind w:firstLine="0"/>
        <w:outlineLvl w:val="0"/>
        <w:rPr>
          <w:rFonts w:ascii="Times New Roman" w:hAnsi="Times New Roman" w:eastAsia="仿宋_GB2312" w:cs="Times New Roman"/>
          <w:b/>
          <w:bCs/>
          <w:sz w:val="32"/>
          <w:szCs w:val="32"/>
        </w:rPr>
      </w:pPr>
      <w:bookmarkStart w:id="60" w:name="_Toc5628"/>
      <w:bookmarkStart w:id="61" w:name="_Toc25181"/>
      <w:r>
        <w:rPr>
          <w:rFonts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lang w:val="en-US" w:eastAsia="zh-CN"/>
        </w:rPr>
        <w:t>3</w:t>
      </w:r>
      <w:r>
        <w:rPr>
          <w:rFonts w:ascii="Times New Roman" w:hAnsi="Times New Roman" w:eastAsia="仿宋_GB2312" w:cs="Times New Roman"/>
          <w:b/>
          <w:bCs/>
          <w:sz w:val="32"/>
          <w:szCs w:val="32"/>
        </w:rPr>
        <w:t>工程占地</w:t>
      </w:r>
      <w:bookmarkEnd w:id="60"/>
      <w:bookmarkEnd w:id="61"/>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本项目工程占地</w:t>
      </w:r>
      <w:r>
        <w:rPr>
          <w:rFonts w:hint="eastAsia" w:eastAsia="仿宋_GB2312"/>
          <w:sz w:val="24"/>
          <w:szCs w:val="24"/>
          <w:lang w:val="en-US" w:eastAsia="zh-CN"/>
        </w:rPr>
        <w:t>3.51</w:t>
      </w:r>
      <w:r>
        <w:rPr>
          <w:rFonts w:ascii="Times New Roman" w:hAnsi="Times New Roman" w:eastAsia="仿宋_GB2312"/>
          <w:sz w:val="24"/>
          <w:szCs w:val="24"/>
        </w:rPr>
        <w:t>hm</w:t>
      </w:r>
      <w:r>
        <w:rPr>
          <w:rFonts w:ascii="Times New Roman" w:hAnsi="Times New Roman" w:eastAsia="仿宋_GB2312"/>
          <w:sz w:val="24"/>
          <w:szCs w:val="24"/>
          <w:vertAlign w:val="superscript"/>
        </w:rPr>
        <w:t>2</w:t>
      </w:r>
      <w:r>
        <w:rPr>
          <w:rFonts w:ascii="Times New Roman" w:hAnsi="Times New Roman" w:eastAsia="仿宋_GB2312"/>
          <w:sz w:val="24"/>
          <w:szCs w:val="24"/>
        </w:rPr>
        <w:t>，</w:t>
      </w:r>
      <w:r>
        <w:rPr>
          <w:rFonts w:hint="eastAsia" w:ascii="Times New Roman" w:hAnsi="Times New Roman" w:eastAsia="仿宋_GB2312"/>
          <w:sz w:val="24"/>
          <w:szCs w:val="24"/>
          <w:lang w:eastAsia="zh-CN"/>
        </w:rPr>
        <w:t>全部为永久占地</w:t>
      </w:r>
      <w:r>
        <w:rPr>
          <w:rFonts w:ascii="Times New Roman" w:hAnsi="Times New Roman" w:eastAsia="仿宋_GB2312"/>
          <w:sz w:val="24"/>
          <w:szCs w:val="24"/>
        </w:rPr>
        <w:t>。占地类型包括</w:t>
      </w:r>
      <w:r>
        <w:rPr>
          <w:rFonts w:hint="eastAsia" w:ascii="Times New Roman" w:hAnsi="Times New Roman" w:eastAsia="仿宋_GB2312"/>
          <w:sz w:val="24"/>
          <w:szCs w:val="24"/>
          <w:lang w:eastAsia="zh-CN"/>
        </w:rPr>
        <w:t>工矿用地、交通运输用地</w:t>
      </w:r>
      <w:r>
        <w:rPr>
          <w:rFonts w:hint="eastAsia" w:eastAsia="仿宋_GB2312"/>
          <w:sz w:val="24"/>
          <w:szCs w:val="24"/>
          <w:lang w:eastAsia="zh-CN"/>
        </w:rPr>
        <w:t>、其他草地</w:t>
      </w:r>
      <w:r>
        <w:rPr>
          <w:rFonts w:ascii="Times New Roman" w:hAnsi="Times New Roman" w:eastAsia="仿宋_GB2312"/>
          <w:sz w:val="24"/>
          <w:szCs w:val="24"/>
        </w:rPr>
        <w:t>。工程项目占地情况详见表2-</w:t>
      </w:r>
      <w:r>
        <w:rPr>
          <w:rFonts w:hint="eastAsia" w:ascii="Times New Roman" w:hAnsi="Times New Roman" w:eastAsia="仿宋_GB2312"/>
          <w:sz w:val="24"/>
          <w:szCs w:val="24"/>
          <w:lang w:val="en-US" w:eastAsia="zh-CN"/>
        </w:rPr>
        <w:t>2</w:t>
      </w:r>
      <w:r>
        <w:rPr>
          <w:rFonts w:ascii="Times New Roman" w:hAnsi="Times New Roman" w:eastAsia="仿宋_GB2312"/>
          <w:sz w:val="24"/>
          <w:szCs w:val="24"/>
        </w:rPr>
        <w:t>。</w:t>
      </w:r>
    </w:p>
    <w:p>
      <w:pPr>
        <w:pStyle w:val="2"/>
        <w:rPr>
          <w:rFonts w:hint="eastAsia"/>
        </w:rPr>
      </w:pPr>
    </w:p>
    <w:p>
      <w:pPr>
        <w:autoSpaceDE w:val="0"/>
        <w:autoSpaceDN w:val="0"/>
        <w:spacing w:before="156" w:beforeLines="50"/>
        <w:jc w:val="center"/>
        <w:rPr>
          <w:rFonts w:ascii="Times New Roman" w:hAnsi="Times New Roman" w:eastAsia="仿宋_GB2312"/>
          <w:b/>
          <w:sz w:val="24"/>
        </w:rPr>
      </w:pPr>
    </w:p>
    <w:p>
      <w:pPr>
        <w:autoSpaceDE w:val="0"/>
        <w:autoSpaceDN w:val="0"/>
        <w:spacing w:before="156" w:beforeLines="50"/>
        <w:jc w:val="center"/>
        <w:rPr>
          <w:rFonts w:hint="eastAsia" w:ascii="Times New Roman" w:hAnsi="Times New Roman" w:eastAsia="仿宋_GB2312"/>
          <w:b/>
          <w:sz w:val="24"/>
          <w:lang w:eastAsia="zh-CN"/>
        </w:rPr>
      </w:pPr>
      <w:r>
        <w:rPr>
          <w:rFonts w:ascii="Times New Roman" w:hAnsi="Times New Roman" w:eastAsia="仿宋_GB2312"/>
          <w:b/>
          <w:sz w:val="24"/>
        </w:rPr>
        <w:t>表2-</w:t>
      </w:r>
      <w:r>
        <w:rPr>
          <w:rFonts w:hint="eastAsia" w:ascii="Times New Roman" w:hAnsi="Times New Roman" w:eastAsia="仿宋_GB2312"/>
          <w:b/>
          <w:sz w:val="24"/>
          <w:lang w:val="en-US" w:eastAsia="zh-CN"/>
        </w:rPr>
        <w:t>2</w:t>
      </w:r>
      <w:r>
        <w:rPr>
          <w:rFonts w:ascii="Times New Roman" w:hAnsi="Times New Roman" w:eastAsia="仿宋_GB2312"/>
          <w:b/>
          <w:sz w:val="24"/>
        </w:rPr>
        <w:t xml:space="preserve">  工程占地情况表</w:t>
      </w:r>
      <w:r>
        <w:rPr>
          <w:rFonts w:hint="eastAsia" w:ascii="Times New Roman" w:hAnsi="Times New Roman" w:eastAsia="仿宋_GB2312"/>
          <w:b/>
          <w:sz w:val="24"/>
          <w:lang w:val="en-US" w:eastAsia="zh-CN"/>
        </w:rPr>
        <w:t xml:space="preserve">     </w:t>
      </w:r>
      <w:r>
        <w:rPr>
          <w:rFonts w:ascii="Times New Roman" w:hAnsi="Times New Roman" w:eastAsia="仿宋_GB2312"/>
          <w:b/>
          <w:sz w:val="24"/>
        </w:rPr>
        <w:t>单位：</w:t>
      </w:r>
      <w:r>
        <w:rPr>
          <w:rFonts w:hint="eastAsia" w:ascii="Times New Roman" w:hAnsi="Times New Roman" w:eastAsia="仿宋_GB2312"/>
          <w:b/>
          <w:sz w:val="24"/>
          <w:lang w:val="en-US" w:eastAsia="zh-CN"/>
        </w:rPr>
        <w:t>h</w:t>
      </w:r>
      <w:r>
        <w:rPr>
          <w:rFonts w:ascii="Times New Roman" w:hAnsi="Times New Roman" w:eastAsia="仿宋_GB2312"/>
          <w:b/>
          <w:sz w:val="24"/>
        </w:rPr>
        <w:t>m</w:t>
      </w:r>
      <w:r>
        <w:rPr>
          <w:rFonts w:hint="eastAsia" w:ascii="Times New Roman" w:hAnsi="Times New Roman" w:eastAsia="仿宋_GB2312"/>
          <w:b/>
          <w:sz w:val="24"/>
          <w:vertAlign w:val="superscript"/>
          <w:lang w:val="en-US" w:eastAsia="zh-CN"/>
        </w:rPr>
        <w:t>2</w:t>
      </w:r>
    </w:p>
    <w:tbl>
      <w:tblPr>
        <w:tblStyle w:val="24"/>
        <w:tblW w:w="8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3"/>
        <w:gridCol w:w="2247"/>
        <w:gridCol w:w="1400"/>
        <w:gridCol w:w="1399"/>
        <w:gridCol w:w="1401"/>
        <w:gridCol w:w="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0" w:hRule="atLeast"/>
        </w:trPr>
        <w:tc>
          <w:tcPr>
            <w:tcW w:w="5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序号</w:t>
            </w:r>
          </w:p>
        </w:tc>
        <w:tc>
          <w:tcPr>
            <w:tcW w:w="224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项目名称</w:t>
            </w:r>
          </w:p>
        </w:tc>
        <w:tc>
          <w:tcPr>
            <w:tcW w:w="42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占地类型</w:t>
            </w:r>
          </w:p>
        </w:tc>
        <w:tc>
          <w:tcPr>
            <w:tcW w:w="14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8" w:hRule="atLeast"/>
        </w:trPr>
        <w:tc>
          <w:tcPr>
            <w:tcW w:w="55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22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工矿用地</w:t>
            </w: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交通运输用地</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其他草地</w:t>
            </w:r>
          </w:p>
        </w:tc>
        <w:tc>
          <w:tcPr>
            <w:tcW w:w="1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采场</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2.32</w:t>
            </w: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2</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加工场地</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0.36</w:t>
            </w: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3</w:t>
            </w:r>
          </w:p>
        </w:tc>
        <w:tc>
          <w:tcPr>
            <w:tcW w:w="2247"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场地道路</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lang w:val="en-US" w:eastAsia="zh-CN"/>
              </w:rPr>
            </w:pP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sz w:val="22"/>
                <w:szCs w:val="22"/>
                <w:u w:val="none"/>
                <w:lang w:val="en-US" w:eastAsia="zh-CN"/>
              </w:rPr>
              <w:t>0.82</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sz w:val="22"/>
                <w:szCs w:val="22"/>
                <w:u w:val="none"/>
                <w:lang w:val="en-US" w:eastAsia="zh-CN"/>
              </w:rPr>
              <w:t>0.82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4</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输电线路</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0"/>
                <w:sz w:val="21"/>
                <w:szCs w:val="21"/>
                <w:u w:val="none"/>
                <w:lang w:val="en-US" w:eastAsia="zh-CN" w:bidi="ar"/>
              </w:rPr>
            </w:pP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0.01</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3" w:hRule="atLeast"/>
        </w:trPr>
        <w:tc>
          <w:tcPr>
            <w:tcW w:w="28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合计</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2.68</w:t>
            </w: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ascii="Times New Roman" w:hAnsi="Times New Roman" w:eastAsia="宋体" w:cs="Times New Roman"/>
                <w:b/>
                <w:i w:val="0"/>
                <w:color w:val="000000"/>
                <w:kern w:val="0"/>
                <w:sz w:val="21"/>
                <w:szCs w:val="21"/>
                <w:u w:val="none"/>
                <w:lang w:val="en-US" w:eastAsia="zh-CN" w:bidi="ar"/>
              </w:rPr>
              <w:t>0</w:t>
            </w:r>
            <w:r>
              <w:rPr>
                <w:rFonts w:hint="eastAsia" w:eastAsia="宋体" w:cs="Times New Roman"/>
                <w:b/>
                <w:i w:val="0"/>
                <w:color w:val="000000"/>
                <w:kern w:val="0"/>
                <w:sz w:val="21"/>
                <w:szCs w:val="21"/>
                <w:u w:val="none"/>
                <w:lang w:val="en-US" w:eastAsia="zh-CN" w:bidi="ar"/>
              </w:rPr>
              <w:t>.82</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default" w:ascii="Times New Roman" w:hAnsi="Times New Roman" w:eastAsia="宋体" w:cs="Times New Roman"/>
                <w:b/>
                <w:i w:val="0"/>
                <w:color w:val="000000"/>
                <w:kern w:val="0"/>
                <w:sz w:val="21"/>
                <w:szCs w:val="21"/>
                <w:u w:val="none"/>
                <w:lang w:val="en-US" w:eastAsia="zh-CN" w:bidi="ar"/>
              </w:rPr>
              <w:t>0.01</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eastAsia="宋体" w:cs="Times New Roman"/>
                <w:b/>
                <w:i w:val="0"/>
                <w:color w:val="000000"/>
                <w:kern w:val="0"/>
                <w:sz w:val="21"/>
                <w:szCs w:val="21"/>
                <w:u w:val="none"/>
                <w:lang w:val="en-US" w:eastAsia="zh-CN" w:bidi="ar"/>
              </w:rPr>
              <w:t>3.51</w:t>
            </w:r>
          </w:p>
        </w:tc>
      </w:tr>
    </w:tbl>
    <w:p>
      <w:pPr>
        <w:pStyle w:val="4"/>
        <w:spacing w:before="120" w:after="120" w:line="360" w:lineRule="auto"/>
        <w:ind w:firstLine="0"/>
        <w:outlineLvl w:val="0"/>
        <w:rPr>
          <w:rFonts w:ascii="Times New Roman" w:hAnsi="Times New Roman" w:eastAsia="仿宋_GB2312" w:cs="Times New Roman"/>
          <w:b/>
          <w:bCs/>
          <w:sz w:val="32"/>
          <w:szCs w:val="32"/>
        </w:rPr>
      </w:pPr>
      <w:bookmarkStart w:id="62" w:name="_Toc20164"/>
      <w:bookmarkStart w:id="63" w:name="_Toc21518"/>
      <w:r>
        <w:rPr>
          <w:rFonts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lang w:val="en-US" w:eastAsia="zh-CN"/>
        </w:rPr>
        <w:t>4</w:t>
      </w:r>
      <w:r>
        <w:rPr>
          <w:rFonts w:ascii="Times New Roman" w:hAnsi="Times New Roman" w:eastAsia="仿宋_GB2312" w:cs="Times New Roman"/>
          <w:b/>
          <w:bCs/>
          <w:sz w:val="32"/>
          <w:szCs w:val="32"/>
        </w:rPr>
        <w:t>土石方平衡</w:t>
      </w:r>
      <w:bookmarkEnd w:id="62"/>
      <w:bookmarkEnd w:id="63"/>
    </w:p>
    <w:p>
      <w:pPr>
        <w:autoSpaceDE w:val="0"/>
        <w:autoSpaceDN w:val="0"/>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szCs w:val="24"/>
          <w:lang w:eastAsia="zh-CN"/>
        </w:rPr>
        <w:t>本项目建设期挖填总量为</w:t>
      </w:r>
      <w:r>
        <w:rPr>
          <w:rFonts w:hint="eastAsia" w:eastAsia="仿宋_GB2312"/>
          <w:sz w:val="24"/>
          <w:szCs w:val="24"/>
          <w:lang w:val="en-US" w:eastAsia="zh-CN"/>
        </w:rPr>
        <w:t>1</w:t>
      </w:r>
      <w:r>
        <w:rPr>
          <w:rFonts w:hint="eastAsia" w:ascii="Times New Roman" w:hAnsi="Times New Roman" w:eastAsia="仿宋_GB2312"/>
          <w:sz w:val="24"/>
          <w:szCs w:val="24"/>
          <w:lang w:eastAsia="zh-CN"/>
        </w:rPr>
        <w:t>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。其中开挖</w:t>
      </w:r>
      <w:r>
        <w:rPr>
          <w:rFonts w:hint="eastAsia" w:eastAsia="仿宋_GB2312"/>
          <w:sz w:val="24"/>
          <w:szCs w:val="24"/>
          <w:lang w:val="en-US" w:eastAsia="zh-CN"/>
        </w:rPr>
        <w:t>0.5</w:t>
      </w:r>
      <w:r>
        <w:rPr>
          <w:rFonts w:hint="eastAsia" w:ascii="Times New Roman" w:hAnsi="Times New Roman" w:eastAsia="仿宋_GB2312"/>
          <w:sz w:val="24"/>
          <w:szCs w:val="24"/>
          <w:lang w:eastAsia="zh-CN"/>
        </w:rPr>
        <w:t>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，回填0.</w:t>
      </w:r>
      <w:r>
        <w:rPr>
          <w:rFonts w:hint="eastAsia" w:eastAsia="仿宋_GB2312"/>
          <w:sz w:val="24"/>
          <w:szCs w:val="24"/>
          <w:lang w:val="en-US" w:eastAsia="zh-CN"/>
        </w:rPr>
        <w:t>5</w:t>
      </w:r>
      <w:r>
        <w:rPr>
          <w:rFonts w:hint="eastAsia" w:ascii="Times New Roman" w:hAnsi="Times New Roman" w:eastAsia="仿宋_GB2312"/>
          <w:sz w:val="24"/>
          <w:szCs w:val="24"/>
          <w:lang w:eastAsia="zh-CN"/>
        </w:rPr>
        <w:t>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，无弃方。</w:t>
      </w:r>
      <w:r>
        <w:rPr>
          <w:rFonts w:ascii="Times New Roman" w:hAnsi="Times New Roman" w:eastAsia="仿宋_GB2312"/>
          <w:sz w:val="24"/>
        </w:rPr>
        <w:t>项目土石方情况详见表2-</w:t>
      </w:r>
      <w:r>
        <w:rPr>
          <w:rFonts w:hint="eastAsia" w:ascii="Times New Roman" w:hAnsi="Times New Roman" w:eastAsia="仿宋_GB2312"/>
          <w:sz w:val="24"/>
          <w:lang w:val="en-US" w:eastAsia="zh-CN"/>
        </w:rPr>
        <w:t>3</w:t>
      </w:r>
      <w:r>
        <w:rPr>
          <w:rFonts w:ascii="Times New Roman" w:hAnsi="Times New Roman" w:eastAsia="仿宋_GB2312"/>
          <w:sz w:val="24"/>
        </w:rPr>
        <w:t>。</w:t>
      </w:r>
    </w:p>
    <w:p>
      <w:pPr>
        <w:wordWrap w:val="0"/>
        <w:spacing w:before="156" w:beforeLines="50"/>
        <w:jc w:val="right"/>
        <w:rPr>
          <w:rFonts w:ascii="Times New Roman" w:hAnsi="Times New Roman" w:eastAsia="仿宋_GB2312"/>
          <w:b/>
          <w:sz w:val="24"/>
          <w:vertAlign w:val="superscript"/>
        </w:rPr>
      </w:pPr>
      <w:r>
        <w:rPr>
          <w:rFonts w:ascii="Times New Roman" w:hAnsi="Times New Roman" w:eastAsia="仿宋_GB2312"/>
          <w:b/>
          <w:sz w:val="24"/>
        </w:rPr>
        <w:t>表</w:t>
      </w:r>
      <w:r>
        <w:rPr>
          <w:rFonts w:hint="eastAsia" w:ascii="Times New Roman" w:hAnsi="Times New Roman" w:eastAsia="仿宋_GB2312"/>
          <w:b/>
          <w:sz w:val="24"/>
          <w:lang w:val="en-US" w:eastAsia="zh-CN"/>
        </w:rPr>
        <w:t>2-3</w:t>
      </w:r>
      <w:r>
        <w:rPr>
          <w:rFonts w:ascii="Times New Roman" w:hAnsi="Times New Roman" w:eastAsia="仿宋_GB2312"/>
          <w:b/>
          <w:sz w:val="24"/>
        </w:rPr>
        <w:t xml:space="preserve">  项目土石方平衡表               单位：万m</w:t>
      </w:r>
      <w:r>
        <w:rPr>
          <w:rFonts w:ascii="Times New Roman" w:hAnsi="Times New Roman" w:eastAsia="仿宋_GB2312"/>
          <w:b/>
          <w:sz w:val="24"/>
          <w:vertAlign w:val="superscript"/>
        </w:rPr>
        <w:t>3</w:t>
      </w:r>
    </w:p>
    <w:tbl>
      <w:tblPr>
        <w:tblStyle w:val="24"/>
        <w:tblW w:w="8760" w:type="dxa"/>
        <w:jc w:val="center"/>
        <w:tblLayout w:type="fixed"/>
        <w:tblCellMar>
          <w:top w:w="15" w:type="dxa"/>
          <w:left w:w="15" w:type="dxa"/>
          <w:bottom w:w="15" w:type="dxa"/>
          <w:right w:w="15" w:type="dxa"/>
        </w:tblCellMar>
      </w:tblPr>
      <w:tblGrid>
        <w:gridCol w:w="745"/>
        <w:gridCol w:w="1536"/>
        <w:gridCol w:w="694"/>
        <w:gridCol w:w="727"/>
        <w:gridCol w:w="726"/>
        <w:gridCol w:w="632"/>
        <w:gridCol w:w="554"/>
        <w:gridCol w:w="567"/>
        <w:gridCol w:w="589"/>
        <w:gridCol w:w="599"/>
        <w:gridCol w:w="741"/>
        <w:gridCol w:w="650"/>
      </w:tblGrid>
      <w:tr>
        <w:tblPrEx>
          <w:tblCellMar>
            <w:top w:w="15" w:type="dxa"/>
            <w:left w:w="15" w:type="dxa"/>
            <w:bottom w:w="15" w:type="dxa"/>
            <w:right w:w="15" w:type="dxa"/>
          </w:tblCellMar>
        </w:tblPrEx>
        <w:trPr>
          <w:trHeight w:val="321" w:hRule="atLeast"/>
          <w:jc w:val="center"/>
        </w:trPr>
        <w:tc>
          <w:tcPr>
            <w:tcW w:w="745" w:type="dxa"/>
            <w:vMerge w:val="restart"/>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序号</w:t>
            </w:r>
          </w:p>
        </w:tc>
        <w:tc>
          <w:tcPr>
            <w:tcW w:w="1536" w:type="dxa"/>
            <w:vMerge w:val="restart"/>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项目</w:t>
            </w:r>
          </w:p>
        </w:tc>
        <w:tc>
          <w:tcPr>
            <w:tcW w:w="694" w:type="dxa"/>
            <w:vMerge w:val="restart"/>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开挖</w:t>
            </w:r>
          </w:p>
        </w:tc>
        <w:tc>
          <w:tcPr>
            <w:tcW w:w="727" w:type="dxa"/>
            <w:vMerge w:val="restart"/>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回填</w:t>
            </w:r>
          </w:p>
        </w:tc>
        <w:tc>
          <w:tcPr>
            <w:tcW w:w="1358" w:type="dxa"/>
            <w:gridSpan w:val="2"/>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调入</w:t>
            </w:r>
          </w:p>
        </w:tc>
        <w:tc>
          <w:tcPr>
            <w:tcW w:w="1121" w:type="dxa"/>
            <w:gridSpan w:val="2"/>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调出</w:t>
            </w:r>
          </w:p>
        </w:tc>
        <w:tc>
          <w:tcPr>
            <w:tcW w:w="1188" w:type="dxa"/>
            <w:gridSpan w:val="2"/>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外借</w:t>
            </w:r>
          </w:p>
        </w:tc>
        <w:tc>
          <w:tcPr>
            <w:tcW w:w="1391" w:type="dxa"/>
            <w:gridSpan w:val="2"/>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回收利用</w:t>
            </w:r>
          </w:p>
        </w:tc>
      </w:tr>
      <w:tr>
        <w:tblPrEx>
          <w:tblCellMar>
            <w:top w:w="15" w:type="dxa"/>
            <w:left w:w="15" w:type="dxa"/>
            <w:bottom w:w="15" w:type="dxa"/>
            <w:right w:w="15" w:type="dxa"/>
          </w:tblCellMar>
        </w:tblPrEx>
        <w:trPr>
          <w:trHeight w:val="342" w:hRule="atLeast"/>
          <w:jc w:val="center"/>
        </w:trPr>
        <w:tc>
          <w:tcPr>
            <w:tcW w:w="745" w:type="dxa"/>
            <w:vMerge w:val="continue"/>
            <w:tcBorders>
              <w:top w:val="single" w:color="000000" w:sz="8" w:space="0"/>
              <w:left w:val="single" w:color="000000" w:sz="8" w:space="0"/>
              <w:bottom w:val="single" w:color="000000" w:sz="8" w:space="0"/>
              <w:right w:val="single" w:color="000000" w:sz="8" w:space="0"/>
            </w:tcBorders>
            <w:noWrap w:val="0"/>
            <w:vAlign w:val="center"/>
          </w:tcPr>
          <w:p>
            <w:pPr>
              <w:rPr>
                <w:rFonts w:hint="default" w:ascii="仿宋_GB2312" w:hAnsi="宋体" w:eastAsia="仿宋_GB2312" w:cs="仿宋_GB2312"/>
                <w:i w:val="0"/>
                <w:color w:val="000000"/>
                <w:kern w:val="0"/>
                <w:sz w:val="21"/>
                <w:szCs w:val="21"/>
                <w:u w:val="none"/>
                <w:lang w:val="en-US" w:eastAsia="zh-CN" w:bidi="ar"/>
              </w:rPr>
            </w:pPr>
          </w:p>
        </w:tc>
        <w:tc>
          <w:tcPr>
            <w:tcW w:w="1536" w:type="dxa"/>
            <w:vMerge w:val="continue"/>
            <w:tcBorders>
              <w:top w:val="single" w:color="000000" w:sz="8" w:space="0"/>
              <w:left w:val="nil"/>
              <w:bottom w:val="single" w:color="000000" w:sz="8" w:space="0"/>
              <w:right w:val="single" w:color="000000" w:sz="8" w:space="0"/>
            </w:tcBorders>
            <w:noWrap w:val="0"/>
            <w:vAlign w:val="center"/>
          </w:tcPr>
          <w:p>
            <w:pPr>
              <w:rPr>
                <w:rFonts w:hint="default" w:ascii="仿宋_GB2312" w:hAnsi="宋体" w:eastAsia="仿宋_GB2312" w:cs="仿宋_GB2312"/>
                <w:i w:val="0"/>
                <w:color w:val="000000"/>
                <w:kern w:val="0"/>
                <w:sz w:val="21"/>
                <w:szCs w:val="21"/>
                <w:u w:val="none"/>
                <w:lang w:val="en-US" w:eastAsia="zh-CN" w:bidi="ar"/>
              </w:rPr>
            </w:pPr>
          </w:p>
        </w:tc>
        <w:tc>
          <w:tcPr>
            <w:tcW w:w="694" w:type="dxa"/>
            <w:vMerge w:val="continue"/>
            <w:tcBorders>
              <w:top w:val="single" w:color="000000" w:sz="8" w:space="0"/>
              <w:left w:val="nil"/>
              <w:bottom w:val="single" w:color="000000" w:sz="8" w:space="0"/>
              <w:right w:val="single" w:color="000000" w:sz="8" w:space="0"/>
            </w:tcBorders>
            <w:noWrap w:val="0"/>
            <w:vAlign w:val="center"/>
          </w:tcPr>
          <w:p>
            <w:pPr>
              <w:rPr>
                <w:rFonts w:hint="default" w:ascii="仿宋_GB2312" w:hAnsi="宋体" w:eastAsia="仿宋_GB2312" w:cs="仿宋_GB2312"/>
                <w:i w:val="0"/>
                <w:color w:val="000000"/>
                <w:kern w:val="0"/>
                <w:sz w:val="21"/>
                <w:szCs w:val="21"/>
                <w:u w:val="none"/>
                <w:lang w:val="en-US" w:eastAsia="zh-CN" w:bidi="ar"/>
              </w:rPr>
            </w:pPr>
          </w:p>
        </w:tc>
        <w:tc>
          <w:tcPr>
            <w:tcW w:w="727" w:type="dxa"/>
            <w:vMerge w:val="continue"/>
            <w:tcBorders>
              <w:top w:val="single" w:color="000000" w:sz="8" w:space="0"/>
              <w:left w:val="nil"/>
              <w:bottom w:val="single" w:color="000000" w:sz="8" w:space="0"/>
              <w:right w:val="single" w:color="000000" w:sz="8" w:space="0"/>
            </w:tcBorders>
            <w:noWrap w:val="0"/>
            <w:vAlign w:val="center"/>
          </w:tcPr>
          <w:p>
            <w:pPr>
              <w:rPr>
                <w:rFonts w:hint="default" w:ascii="仿宋_GB2312" w:hAnsi="宋体" w:eastAsia="仿宋_GB2312" w:cs="仿宋_GB2312"/>
                <w:i w:val="0"/>
                <w:color w:val="000000"/>
                <w:kern w:val="0"/>
                <w:sz w:val="21"/>
                <w:szCs w:val="21"/>
                <w:u w:val="none"/>
                <w:lang w:val="en-US" w:eastAsia="zh-CN" w:bidi="ar"/>
              </w:rPr>
            </w:pPr>
          </w:p>
        </w:tc>
        <w:tc>
          <w:tcPr>
            <w:tcW w:w="726" w:type="dxa"/>
            <w:vMerge w:val="restart"/>
            <w:tcBorders>
              <w:top w:val="nil"/>
              <w:left w:val="nil"/>
              <w:bottom w:val="single" w:color="000000" w:sz="8" w:space="0"/>
              <w:right w:val="single" w:color="000000" w:sz="8" w:space="0"/>
            </w:tcBorders>
            <w:noWrap w:val="0"/>
            <w:vAlign w:val="center"/>
          </w:tcPr>
          <w:p>
            <w:pPr>
              <w:keepNext w:val="0"/>
              <w:keepLines w:val="0"/>
              <w:widowControl/>
              <w:suppressLineNumbers w:val="0"/>
              <w:spacing w:before="100" w:beforeAutospacing="1" w:after="100" w:afterAutospacing="1" w:line="306" w:lineRule="atLeast"/>
              <w:ind w:left="0" w:right="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数量</w:t>
            </w:r>
          </w:p>
        </w:tc>
        <w:tc>
          <w:tcPr>
            <w:tcW w:w="632" w:type="dxa"/>
            <w:vMerge w:val="restart"/>
            <w:tcBorders>
              <w:top w:val="nil"/>
              <w:left w:val="nil"/>
              <w:bottom w:val="single" w:color="000000" w:sz="8" w:space="0"/>
              <w:right w:val="single" w:color="000000" w:sz="8" w:space="0"/>
            </w:tcBorders>
            <w:noWrap w:val="0"/>
            <w:vAlign w:val="center"/>
          </w:tcPr>
          <w:p>
            <w:pPr>
              <w:keepNext w:val="0"/>
              <w:keepLines w:val="0"/>
              <w:widowControl/>
              <w:suppressLineNumbers w:val="0"/>
              <w:spacing w:before="100" w:beforeAutospacing="1" w:after="100" w:afterAutospacing="1" w:line="306" w:lineRule="atLeast"/>
              <w:ind w:left="0" w:right="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去向</w:t>
            </w:r>
          </w:p>
        </w:tc>
        <w:tc>
          <w:tcPr>
            <w:tcW w:w="554" w:type="dxa"/>
            <w:vMerge w:val="restart"/>
            <w:tcBorders>
              <w:top w:val="nil"/>
              <w:left w:val="nil"/>
              <w:bottom w:val="single" w:color="000000" w:sz="8" w:space="0"/>
              <w:right w:val="single" w:color="000000" w:sz="8" w:space="0"/>
            </w:tcBorders>
            <w:noWrap w:val="0"/>
            <w:vAlign w:val="center"/>
          </w:tcPr>
          <w:p>
            <w:pPr>
              <w:keepNext w:val="0"/>
              <w:keepLines w:val="0"/>
              <w:widowControl/>
              <w:suppressLineNumbers w:val="0"/>
              <w:spacing w:before="100" w:beforeAutospacing="1" w:after="100" w:afterAutospacing="1" w:line="306" w:lineRule="atLeast"/>
              <w:ind w:left="0" w:right="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数量</w:t>
            </w:r>
          </w:p>
        </w:tc>
        <w:tc>
          <w:tcPr>
            <w:tcW w:w="567" w:type="dxa"/>
            <w:vMerge w:val="restart"/>
            <w:tcBorders>
              <w:top w:val="nil"/>
              <w:left w:val="nil"/>
              <w:bottom w:val="single" w:color="000000" w:sz="8" w:space="0"/>
              <w:right w:val="single" w:color="000000" w:sz="8" w:space="0"/>
            </w:tcBorders>
            <w:noWrap w:val="0"/>
            <w:vAlign w:val="center"/>
          </w:tcPr>
          <w:p>
            <w:pPr>
              <w:keepNext w:val="0"/>
              <w:keepLines w:val="0"/>
              <w:widowControl/>
              <w:suppressLineNumbers w:val="0"/>
              <w:spacing w:before="100" w:beforeAutospacing="1" w:after="100" w:afterAutospacing="1" w:line="306" w:lineRule="atLeast"/>
              <w:ind w:left="0" w:right="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去向</w:t>
            </w:r>
          </w:p>
        </w:tc>
        <w:tc>
          <w:tcPr>
            <w:tcW w:w="589" w:type="dxa"/>
            <w:vMerge w:val="restart"/>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spacing w:before="100" w:beforeAutospacing="1" w:after="100" w:afterAutospacing="1" w:line="306" w:lineRule="atLeast"/>
              <w:ind w:left="0" w:right="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数量</w:t>
            </w:r>
          </w:p>
        </w:tc>
        <w:tc>
          <w:tcPr>
            <w:tcW w:w="599" w:type="dxa"/>
            <w:vMerge w:val="restart"/>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spacing w:before="100" w:beforeAutospacing="1" w:after="100" w:afterAutospacing="1" w:line="306" w:lineRule="atLeast"/>
              <w:ind w:left="0" w:right="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去向</w:t>
            </w:r>
          </w:p>
        </w:tc>
        <w:tc>
          <w:tcPr>
            <w:tcW w:w="741" w:type="dxa"/>
            <w:vMerge w:val="restart"/>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spacing w:before="100" w:beforeAutospacing="1" w:after="100" w:afterAutospacing="1" w:line="306" w:lineRule="atLeast"/>
              <w:ind w:left="0" w:right="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数量</w:t>
            </w:r>
          </w:p>
        </w:tc>
        <w:tc>
          <w:tcPr>
            <w:tcW w:w="650" w:type="dxa"/>
            <w:vMerge w:val="restart"/>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spacing w:before="100" w:beforeAutospacing="1" w:after="100" w:afterAutospacing="1" w:line="306" w:lineRule="atLeast"/>
              <w:ind w:left="0" w:right="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去向</w:t>
            </w:r>
          </w:p>
        </w:tc>
      </w:tr>
      <w:tr>
        <w:tblPrEx>
          <w:tblCellMar>
            <w:top w:w="15" w:type="dxa"/>
            <w:left w:w="15" w:type="dxa"/>
            <w:bottom w:w="15" w:type="dxa"/>
            <w:right w:w="15" w:type="dxa"/>
          </w:tblCellMar>
        </w:tblPrEx>
        <w:trPr>
          <w:trHeight w:val="342" w:hRule="atLeast"/>
          <w:jc w:val="center"/>
        </w:trPr>
        <w:tc>
          <w:tcPr>
            <w:tcW w:w="745" w:type="dxa"/>
            <w:vMerge w:val="continue"/>
            <w:tcBorders>
              <w:top w:val="single" w:color="000000" w:sz="8" w:space="0"/>
              <w:left w:val="single" w:color="000000" w:sz="8" w:space="0"/>
              <w:bottom w:val="single" w:color="000000" w:sz="8" w:space="0"/>
              <w:right w:val="single" w:color="000000" w:sz="8" w:space="0"/>
            </w:tcBorders>
            <w:noWrap w:val="0"/>
            <w:vAlign w:val="center"/>
          </w:tcPr>
          <w:p>
            <w:pPr>
              <w:rPr>
                <w:rFonts w:hint="default" w:ascii="仿宋_GB2312" w:hAnsi="宋体" w:eastAsia="仿宋_GB2312" w:cs="仿宋_GB2312"/>
                <w:i w:val="0"/>
                <w:color w:val="000000"/>
                <w:kern w:val="0"/>
                <w:sz w:val="21"/>
                <w:szCs w:val="21"/>
                <w:u w:val="none"/>
                <w:lang w:val="en-US" w:eastAsia="zh-CN" w:bidi="ar"/>
              </w:rPr>
            </w:pPr>
          </w:p>
        </w:tc>
        <w:tc>
          <w:tcPr>
            <w:tcW w:w="1536" w:type="dxa"/>
            <w:vMerge w:val="continue"/>
            <w:tcBorders>
              <w:top w:val="single" w:color="000000" w:sz="8" w:space="0"/>
              <w:left w:val="nil"/>
              <w:bottom w:val="single" w:color="000000" w:sz="8" w:space="0"/>
              <w:right w:val="single" w:color="000000" w:sz="8" w:space="0"/>
            </w:tcBorders>
            <w:noWrap w:val="0"/>
            <w:vAlign w:val="center"/>
          </w:tcPr>
          <w:p>
            <w:pPr>
              <w:rPr>
                <w:rFonts w:hint="default" w:ascii="仿宋_GB2312" w:hAnsi="宋体" w:eastAsia="仿宋_GB2312" w:cs="仿宋_GB2312"/>
                <w:i w:val="0"/>
                <w:color w:val="000000"/>
                <w:kern w:val="0"/>
                <w:sz w:val="21"/>
                <w:szCs w:val="21"/>
                <w:u w:val="none"/>
                <w:lang w:val="en-US" w:eastAsia="zh-CN" w:bidi="ar"/>
              </w:rPr>
            </w:pPr>
          </w:p>
        </w:tc>
        <w:tc>
          <w:tcPr>
            <w:tcW w:w="694" w:type="dxa"/>
            <w:vMerge w:val="continue"/>
            <w:tcBorders>
              <w:top w:val="single" w:color="000000" w:sz="8" w:space="0"/>
              <w:left w:val="nil"/>
              <w:bottom w:val="single" w:color="000000" w:sz="8" w:space="0"/>
              <w:right w:val="single" w:color="000000" w:sz="8" w:space="0"/>
            </w:tcBorders>
            <w:noWrap w:val="0"/>
            <w:vAlign w:val="center"/>
          </w:tcPr>
          <w:p>
            <w:pPr>
              <w:rPr>
                <w:rFonts w:hint="default" w:ascii="仿宋_GB2312" w:hAnsi="宋体" w:eastAsia="仿宋_GB2312" w:cs="仿宋_GB2312"/>
                <w:i w:val="0"/>
                <w:color w:val="000000"/>
                <w:kern w:val="0"/>
                <w:sz w:val="21"/>
                <w:szCs w:val="21"/>
                <w:u w:val="none"/>
                <w:lang w:val="en-US" w:eastAsia="zh-CN" w:bidi="ar"/>
              </w:rPr>
            </w:pPr>
          </w:p>
        </w:tc>
        <w:tc>
          <w:tcPr>
            <w:tcW w:w="727" w:type="dxa"/>
            <w:vMerge w:val="continue"/>
            <w:tcBorders>
              <w:top w:val="single" w:color="000000" w:sz="8" w:space="0"/>
              <w:left w:val="nil"/>
              <w:bottom w:val="single" w:color="000000" w:sz="8" w:space="0"/>
              <w:right w:val="single" w:color="000000" w:sz="8" w:space="0"/>
            </w:tcBorders>
            <w:noWrap w:val="0"/>
            <w:vAlign w:val="center"/>
          </w:tcPr>
          <w:p>
            <w:pPr>
              <w:rPr>
                <w:rFonts w:hint="default" w:ascii="仿宋_GB2312" w:hAnsi="宋体" w:eastAsia="仿宋_GB2312" w:cs="仿宋_GB2312"/>
                <w:i w:val="0"/>
                <w:color w:val="000000"/>
                <w:kern w:val="0"/>
                <w:sz w:val="21"/>
                <w:szCs w:val="21"/>
                <w:u w:val="none"/>
                <w:lang w:val="en-US" w:eastAsia="zh-CN" w:bidi="ar"/>
              </w:rPr>
            </w:pPr>
          </w:p>
        </w:tc>
        <w:tc>
          <w:tcPr>
            <w:tcW w:w="726" w:type="dxa"/>
            <w:vMerge w:val="continue"/>
            <w:tcBorders>
              <w:top w:val="nil"/>
              <w:left w:val="nil"/>
              <w:bottom w:val="single" w:color="000000" w:sz="8" w:space="0"/>
              <w:right w:val="single" w:color="000000" w:sz="8" w:space="0"/>
            </w:tcBorders>
            <w:noWrap w:val="0"/>
            <w:vAlign w:val="center"/>
          </w:tcPr>
          <w:p>
            <w:pPr>
              <w:rPr>
                <w:rFonts w:hint="default" w:ascii="仿宋_GB2312" w:hAnsi="宋体" w:eastAsia="仿宋_GB2312" w:cs="仿宋_GB2312"/>
                <w:i w:val="0"/>
                <w:color w:val="000000"/>
                <w:kern w:val="0"/>
                <w:sz w:val="21"/>
                <w:szCs w:val="21"/>
                <w:u w:val="none"/>
                <w:lang w:val="en-US" w:eastAsia="zh-CN" w:bidi="ar"/>
              </w:rPr>
            </w:pPr>
          </w:p>
        </w:tc>
        <w:tc>
          <w:tcPr>
            <w:tcW w:w="632" w:type="dxa"/>
            <w:vMerge w:val="continue"/>
            <w:tcBorders>
              <w:top w:val="nil"/>
              <w:left w:val="nil"/>
              <w:bottom w:val="single" w:color="000000" w:sz="8" w:space="0"/>
              <w:right w:val="single" w:color="000000" w:sz="8" w:space="0"/>
            </w:tcBorders>
            <w:noWrap w:val="0"/>
            <w:vAlign w:val="center"/>
          </w:tcPr>
          <w:p>
            <w:pPr>
              <w:rPr>
                <w:rFonts w:hint="default" w:ascii="仿宋_GB2312" w:hAnsi="宋体" w:eastAsia="仿宋_GB2312" w:cs="仿宋_GB2312"/>
                <w:i w:val="0"/>
                <w:color w:val="000000"/>
                <w:kern w:val="0"/>
                <w:sz w:val="21"/>
                <w:szCs w:val="21"/>
                <w:u w:val="none"/>
                <w:lang w:val="en-US" w:eastAsia="zh-CN" w:bidi="ar"/>
              </w:rPr>
            </w:pPr>
          </w:p>
        </w:tc>
        <w:tc>
          <w:tcPr>
            <w:tcW w:w="554" w:type="dxa"/>
            <w:vMerge w:val="continue"/>
            <w:tcBorders>
              <w:top w:val="nil"/>
              <w:left w:val="nil"/>
              <w:bottom w:val="single" w:color="000000" w:sz="8" w:space="0"/>
              <w:right w:val="single" w:color="000000" w:sz="8" w:space="0"/>
            </w:tcBorders>
            <w:noWrap w:val="0"/>
            <w:vAlign w:val="center"/>
          </w:tcPr>
          <w:p>
            <w:pPr>
              <w:rPr>
                <w:rFonts w:hint="default" w:ascii="仿宋_GB2312" w:hAnsi="宋体" w:eastAsia="仿宋_GB2312" w:cs="仿宋_GB2312"/>
                <w:i w:val="0"/>
                <w:color w:val="000000"/>
                <w:kern w:val="0"/>
                <w:sz w:val="21"/>
                <w:szCs w:val="21"/>
                <w:u w:val="none"/>
                <w:lang w:val="en-US" w:eastAsia="zh-CN" w:bidi="ar"/>
              </w:rPr>
            </w:pPr>
          </w:p>
        </w:tc>
        <w:tc>
          <w:tcPr>
            <w:tcW w:w="567" w:type="dxa"/>
            <w:vMerge w:val="continue"/>
            <w:tcBorders>
              <w:top w:val="nil"/>
              <w:left w:val="nil"/>
              <w:bottom w:val="single" w:color="000000" w:sz="8" w:space="0"/>
              <w:right w:val="single" w:color="000000" w:sz="8" w:space="0"/>
            </w:tcBorders>
            <w:noWrap w:val="0"/>
            <w:vAlign w:val="center"/>
          </w:tcPr>
          <w:p>
            <w:pPr>
              <w:rPr>
                <w:rFonts w:hint="default" w:ascii="仿宋_GB2312" w:hAnsi="宋体" w:eastAsia="仿宋_GB2312" w:cs="仿宋_GB2312"/>
                <w:i w:val="0"/>
                <w:color w:val="000000"/>
                <w:kern w:val="0"/>
                <w:sz w:val="21"/>
                <w:szCs w:val="21"/>
                <w:u w:val="none"/>
                <w:lang w:val="en-US" w:eastAsia="zh-CN" w:bidi="ar"/>
              </w:rPr>
            </w:pPr>
          </w:p>
        </w:tc>
        <w:tc>
          <w:tcPr>
            <w:tcW w:w="589" w:type="dxa"/>
            <w:vMerge w:val="continue"/>
            <w:tcBorders>
              <w:top w:val="single" w:color="000000" w:sz="8" w:space="0"/>
              <w:left w:val="nil"/>
              <w:bottom w:val="single" w:color="000000" w:sz="8" w:space="0"/>
              <w:right w:val="single" w:color="000000" w:sz="8" w:space="0"/>
            </w:tcBorders>
            <w:noWrap w:val="0"/>
            <w:vAlign w:val="center"/>
          </w:tcPr>
          <w:p>
            <w:pPr>
              <w:rPr>
                <w:rFonts w:hint="default" w:ascii="仿宋_GB2312" w:hAnsi="宋体" w:eastAsia="仿宋_GB2312" w:cs="仿宋_GB2312"/>
                <w:i w:val="0"/>
                <w:color w:val="000000"/>
                <w:kern w:val="0"/>
                <w:sz w:val="21"/>
                <w:szCs w:val="21"/>
                <w:u w:val="none"/>
                <w:lang w:val="en-US" w:eastAsia="zh-CN" w:bidi="ar"/>
              </w:rPr>
            </w:pPr>
          </w:p>
        </w:tc>
        <w:tc>
          <w:tcPr>
            <w:tcW w:w="599" w:type="dxa"/>
            <w:vMerge w:val="continue"/>
            <w:tcBorders>
              <w:top w:val="single" w:color="000000" w:sz="8" w:space="0"/>
              <w:left w:val="nil"/>
              <w:bottom w:val="single" w:color="000000" w:sz="8" w:space="0"/>
              <w:right w:val="single" w:color="000000" w:sz="8" w:space="0"/>
            </w:tcBorders>
            <w:noWrap w:val="0"/>
            <w:vAlign w:val="center"/>
          </w:tcPr>
          <w:p>
            <w:pPr>
              <w:rPr>
                <w:rFonts w:hint="default" w:ascii="仿宋_GB2312" w:hAnsi="宋体" w:eastAsia="仿宋_GB2312" w:cs="仿宋_GB2312"/>
                <w:i w:val="0"/>
                <w:color w:val="000000"/>
                <w:kern w:val="0"/>
                <w:sz w:val="21"/>
                <w:szCs w:val="21"/>
                <w:u w:val="none"/>
                <w:lang w:val="en-US" w:eastAsia="zh-CN" w:bidi="ar"/>
              </w:rPr>
            </w:pPr>
          </w:p>
        </w:tc>
        <w:tc>
          <w:tcPr>
            <w:tcW w:w="741" w:type="dxa"/>
            <w:vMerge w:val="continue"/>
            <w:tcBorders>
              <w:top w:val="single" w:color="000000" w:sz="8" w:space="0"/>
              <w:left w:val="nil"/>
              <w:bottom w:val="single" w:color="000000" w:sz="8" w:space="0"/>
              <w:right w:val="single" w:color="000000" w:sz="8" w:space="0"/>
            </w:tcBorders>
            <w:noWrap w:val="0"/>
            <w:vAlign w:val="center"/>
          </w:tcPr>
          <w:p>
            <w:pPr>
              <w:rPr>
                <w:rFonts w:hint="default" w:ascii="仿宋_GB2312" w:hAnsi="宋体" w:eastAsia="仿宋_GB2312" w:cs="仿宋_GB2312"/>
                <w:i w:val="0"/>
                <w:color w:val="000000"/>
                <w:kern w:val="0"/>
                <w:sz w:val="21"/>
                <w:szCs w:val="21"/>
                <w:u w:val="none"/>
                <w:lang w:val="en-US" w:eastAsia="zh-CN" w:bidi="ar"/>
              </w:rPr>
            </w:pPr>
          </w:p>
        </w:tc>
        <w:tc>
          <w:tcPr>
            <w:tcW w:w="650" w:type="dxa"/>
            <w:vMerge w:val="continue"/>
            <w:tcBorders>
              <w:top w:val="single" w:color="000000" w:sz="8" w:space="0"/>
              <w:left w:val="nil"/>
              <w:bottom w:val="single" w:color="000000" w:sz="8" w:space="0"/>
              <w:right w:val="single" w:color="000000" w:sz="8" w:space="0"/>
            </w:tcBorders>
            <w:noWrap w:val="0"/>
            <w:vAlign w:val="center"/>
          </w:tcPr>
          <w:p>
            <w:pPr>
              <w:rPr>
                <w:rFonts w:hint="default" w:ascii="仿宋_GB2312" w:hAnsi="宋体" w:eastAsia="仿宋_GB2312" w:cs="仿宋_GB2312"/>
                <w:i w:val="0"/>
                <w:color w:val="000000"/>
                <w:kern w:val="0"/>
                <w:sz w:val="21"/>
                <w:szCs w:val="21"/>
                <w:u w:val="none"/>
                <w:lang w:val="en-US" w:eastAsia="zh-CN" w:bidi="ar"/>
              </w:rPr>
            </w:pPr>
          </w:p>
        </w:tc>
      </w:tr>
      <w:tr>
        <w:tblPrEx>
          <w:tblCellMar>
            <w:top w:w="15" w:type="dxa"/>
            <w:left w:w="15" w:type="dxa"/>
            <w:bottom w:w="15" w:type="dxa"/>
            <w:right w:w="15" w:type="dxa"/>
          </w:tblCellMar>
        </w:tblPrEx>
        <w:trPr>
          <w:trHeight w:val="334" w:hRule="atLeast"/>
          <w:jc w:val="center"/>
        </w:trPr>
        <w:tc>
          <w:tcPr>
            <w:tcW w:w="745" w:type="dxa"/>
            <w:tcBorders>
              <w:top w:val="nil"/>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1</w:t>
            </w:r>
          </w:p>
        </w:tc>
        <w:tc>
          <w:tcPr>
            <w:tcW w:w="1536"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采场</w:t>
            </w:r>
          </w:p>
        </w:tc>
        <w:tc>
          <w:tcPr>
            <w:tcW w:w="694"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0.01</w:t>
            </w:r>
          </w:p>
        </w:tc>
        <w:tc>
          <w:tcPr>
            <w:tcW w:w="727"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0.01</w:t>
            </w:r>
          </w:p>
        </w:tc>
        <w:tc>
          <w:tcPr>
            <w:tcW w:w="726"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63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554"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567"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589"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599"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741"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650"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 </w:t>
            </w:r>
          </w:p>
        </w:tc>
      </w:tr>
      <w:tr>
        <w:tblPrEx>
          <w:tblCellMar>
            <w:top w:w="15" w:type="dxa"/>
            <w:left w:w="15" w:type="dxa"/>
            <w:bottom w:w="15" w:type="dxa"/>
            <w:right w:w="15" w:type="dxa"/>
          </w:tblCellMar>
        </w:tblPrEx>
        <w:trPr>
          <w:trHeight w:val="371" w:hRule="atLeast"/>
          <w:jc w:val="center"/>
        </w:trPr>
        <w:tc>
          <w:tcPr>
            <w:tcW w:w="745" w:type="dxa"/>
            <w:tcBorders>
              <w:top w:val="nil"/>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2</w:t>
            </w:r>
          </w:p>
        </w:tc>
        <w:tc>
          <w:tcPr>
            <w:tcW w:w="1536"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加工场地</w:t>
            </w:r>
          </w:p>
        </w:tc>
        <w:tc>
          <w:tcPr>
            <w:tcW w:w="694"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0.08</w:t>
            </w:r>
          </w:p>
        </w:tc>
        <w:tc>
          <w:tcPr>
            <w:tcW w:w="727"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0.08</w:t>
            </w:r>
          </w:p>
        </w:tc>
        <w:tc>
          <w:tcPr>
            <w:tcW w:w="726"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63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554"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567"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589"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599"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741"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650"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 </w:t>
            </w:r>
          </w:p>
        </w:tc>
      </w:tr>
      <w:tr>
        <w:tblPrEx>
          <w:tblCellMar>
            <w:top w:w="15" w:type="dxa"/>
            <w:left w:w="15" w:type="dxa"/>
            <w:bottom w:w="15" w:type="dxa"/>
            <w:right w:w="15" w:type="dxa"/>
          </w:tblCellMar>
        </w:tblPrEx>
        <w:trPr>
          <w:trHeight w:val="371" w:hRule="atLeast"/>
          <w:jc w:val="center"/>
        </w:trPr>
        <w:tc>
          <w:tcPr>
            <w:tcW w:w="745" w:type="dxa"/>
            <w:tcBorders>
              <w:top w:val="nil"/>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3</w:t>
            </w:r>
          </w:p>
        </w:tc>
        <w:tc>
          <w:tcPr>
            <w:tcW w:w="1536"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场地道路</w:t>
            </w:r>
          </w:p>
        </w:tc>
        <w:tc>
          <w:tcPr>
            <w:tcW w:w="694"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0.42</w:t>
            </w:r>
          </w:p>
        </w:tc>
        <w:tc>
          <w:tcPr>
            <w:tcW w:w="727"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0.42</w:t>
            </w:r>
          </w:p>
        </w:tc>
        <w:tc>
          <w:tcPr>
            <w:tcW w:w="726"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63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554"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567"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589"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599"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741"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650"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 </w:t>
            </w:r>
          </w:p>
        </w:tc>
      </w:tr>
      <w:tr>
        <w:tblPrEx>
          <w:tblCellMar>
            <w:top w:w="15" w:type="dxa"/>
            <w:left w:w="15" w:type="dxa"/>
            <w:bottom w:w="15" w:type="dxa"/>
            <w:right w:w="15" w:type="dxa"/>
          </w:tblCellMar>
        </w:tblPrEx>
        <w:trPr>
          <w:trHeight w:val="377" w:hRule="atLeast"/>
          <w:jc w:val="center"/>
        </w:trPr>
        <w:tc>
          <w:tcPr>
            <w:tcW w:w="2281" w:type="dxa"/>
            <w:gridSpan w:val="2"/>
            <w:tcBorders>
              <w:top w:val="nil"/>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c>
          <w:tcPr>
            <w:tcW w:w="694" w:type="dxa"/>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0.5</w:t>
            </w:r>
          </w:p>
        </w:tc>
        <w:tc>
          <w:tcPr>
            <w:tcW w:w="727"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0.5</w:t>
            </w:r>
          </w:p>
        </w:tc>
        <w:tc>
          <w:tcPr>
            <w:tcW w:w="726" w:type="dxa"/>
            <w:tcBorders>
              <w:top w:val="single" w:color="000000" w:sz="8" w:space="0"/>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632"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554"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567"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589"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599"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 </w:t>
            </w:r>
          </w:p>
        </w:tc>
        <w:tc>
          <w:tcPr>
            <w:tcW w:w="741"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650" w:type="dxa"/>
            <w:tcBorders>
              <w:top w:val="nil"/>
              <w:left w:val="nil"/>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p>
        </w:tc>
      </w:tr>
    </w:tbl>
    <w:p>
      <w:pPr>
        <w:pStyle w:val="4"/>
        <w:spacing w:before="120" w:after="120" w:line="360" w:lineRule="auto"/>
        <w:ind w:firstLine="0"/>
        <w:outlineLvl w:val="0"/>
        <w:rPr>
          <w:rFonts w:ascii="Times New Roman" w:hAnsi="Times New Roman" w:eastAsia="仿宋_GB2312" w:cs="Times New Roman"/>
          <w:b/>
          <w:bCs/>
          <w:sz w:val="32"/>
          <w:szCs w:val="32"/>
        </w:rPr>
      </w:pPr>
      <w:bookmarkStart w:id="64" w:name="_Toc4578"/>
      <w:r>
        <w:rPr>
          <w:rFonts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lang w:val="en-US" w:eastAsia="zh-CN"/>
        </w:rPr>
        <w:t>5</w:t>
      </w:r>
      <w:r>
        <w:rPr>
          <w:rFonts w:ascii="Times New Roman" w:hAnsi="Times New Roman" w:eastAsia="仿宋_GB2312" w:cs="Times New Roman"/>
          <w:b/>
          <w:bCs/>
          <w:sz w:val="32"/>
          <w:szCs w:val="32"/>
        </w:rPr>
        <w:t>拆迁（移民）安置与专项设施改（迁）建</w:t>
      </w:r>
      <w:bookmarkEnd w:id="64"/>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本项目征占地范围内无拆迁安置工程。</w:t>
      </w:r>
    </w:p>
    <w:p>
      <w:pPr>
        <w:pStyle w:val="4"/>
        <w:spacing w:before="120" w:after="120" w:line="360" w:lineRule="auto"/>
        <w:ind w:firstLine="0"/>
        <w:outlineLvl w:val="0"/>
        <w:rPr>
          <w:rFonts w:ascii="Times New Roman" w:hAnsi="Times New Roman" w:eastAsia="仿宋_GB2312" w:cs="Times New Roman"/>
          <w:b/>
          <w:bCs/>
          <w:sz w:val="32"/>
          <w:szCs w:val="32"/>
        </w:rPr>
      </w:pPr>
      <w:bookmarkStart w:id="65" w:name="_Toc25882"/>
      <w:bookmarkStart w:id="66" w:name="_Toc17690"/>
      <w:r>
        <w:rPr>
          <w:rFonts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lang w:val="en-US" w:eastAsia="zh-CN"/>
        </w:rPr>
        <w:t>6</w:t>
      </w:r>
      <w:r>
        <w:rPr>
          <w:rFonts w:ascii="Times New Roman" w:hAnsi="Times New Roman" w:eastAsia="仿宋_GB2312" w:cs="Times New Roman"/>
          <w:b/>
          <w:bCs/>
          <w:sz w:val="32"/>
          <w:szCs w:val="32"/>
        </w:rPr>
        <w:t>施工进度</w:t>
      </w:r>
      <w:bookmarkEnd w:id="65"/>
      <w:bookmarkEnd w:id="66"/>
    </w:p>
    <w:p>
      <w:pPr>
        <w:spacing w:line="360" w:lineRule="auto"/>
        <w:ind w:firstLine="480" w:firstLineChars="200"/>
        <w:rPr>
          <w:rFonts w:hint="eastAsia" w:ascii="Times New Roman" w:hAnsi="Times New Roman" w:eastAsia="仿宋_GB2312"/>
          <w:bCs/>
          <w:color w:val="auto"/>
          <w:sz w:val="24"/>
          <w:szCs w:val="24"/>
          <w:lang w:eastAsia="zh-CN"/>
        </w:rPr>
      </w:pPr>
      <w:r>
        <w:rPr>
          <w:rFonts w:hint="eastAsia" w:ascii="Times New Roman" w:hAnsi="Times New Roman" w:eastAsia="仿宋_GB2312"/>
          <w:sz w:val="24"/>
          <w:szCs w:val="24"/>
        </w:rPr>
        <w:t>工程拟于2021年4月开工建设，2021年10月建成投产，建设工期6个月</w:t>
      </w:r>
      <w:r>
        <w:rPr>
          <w:rFonts w:hint="eastAsia" w:ascii="Times New Roman" w:hAnsi="Times New Roman" w:eastAsia="仿宋_GB2312"/>
          <w:bCs/>
          <w:color w:val="auto"/>
          <w:sz w:val="24"/>
          <w:szCs w:val="24"/>
          <w:lang w:eastAsia="zh-CN"/>
        </w:rPr>
        <w:t>。</w:t>
      </w:r>
    </w:p>
    <w:p>
      <w:pPr>
        <w:pStyle w:val="4"/>
        <w:spacing w:before="120" w:after="120" w:line="360" w:lineRule="auto"/>
        <w:ind w:firstLine="0"/>
        <w:outlineLvl w:val="0"/>
        <w:rPr>
          <w:rFonts w:ascii="Times New Roman" w:hAnsi="Times New Roman" w:eastAsia="仿宋_GB2312" w:cs="Times New Roman"/>
          <w:b/>
          <w:bCs/>
          <w:sz w:val="32"/>
          <w:szCs w:val="32"/>
        </w:rPr>
      </w:pPr>
      <w:bookmarkStart w:id="67" w:name="_Toc9961"/>
      <w:bookmarkStart w:id="68" w:name="_Toc12064"/>
      <w:r>
        <w:rPr>
          <w:rFonts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lang w:val="en-US" w:eastAsia="zh-CN"/>
        </w:rPr>
        <w:t>7</w:t>
      </w:r>
      <w:r>
        <w:rPr>
          <w:rFonts w:ascii="Times New Roman" w:hAnsi="Times New Roman" w:eastAsia="仿宋_GB2312" w:cs="Times New Roman"/>
          <w:b/>
          <w:bCs/>
          <w:sz w:val="32"/>
          <w:szCs w:val="32"/>
        </w:rPr>
        <w:t>自然概况</w:t>
      </w:r>
      <w:bookmarkEnd w:id="67"/>
      <w:bookmarkEnd w:id="68"/>
    </w:p>
    <w:p>
      <w:pPr>
        <w:pStyle w:val="5"/>
        <w:spacing w:before="0" w:after="120" w:line="360" w:lineRule="auto"/>
        <w:outlineLvl w:val="1"/>
        <w:rPr>
          <w:rFonts w:hint="eastAsia" w:ascii="Times New Roman" w:hAnsi="Times New Roman" w:eastAsia="仿宋_GB2312"/>
          <w:sz w:val="30"/>
          <w:szCs w:val="30"/>
          <w:lang w:eastAsia="zh-CN"/>
        </w:rPr>
      </w:pPr>
      <w:bookmarkStart w:id="69" w:name="_Toc15235"/>
      <w:r>
        <w:rPr>
          <w:rFonts w:ascii="Times New Roman" w:hAnsi="Times New Roman" w:eastAsia="仿宋_GB2312"/>
          <w:sz w:val="30"/>
          <w:szCs w:val="30"/>
        </w:rPr>
        <w:t>2.</w:t>
      </w:r>
      <w:r>
        <w:rPr>
          <w:rFonts w:hint="eastAsia" w:ascii="Times New Roman" w:hAnsi="Times New Roman" w:eastAsia="仿宋_GB2312"/>
          <w:sz w:val="30"/>
          <w:szCs w:val="30"/>
          <w:lang w:val="en-US" w:eastAsia="zh-CN"/>
        </w:rPr>
        <w:t>7</w:t>
      </w:r>
      <w:r>
        <w:rPr>
          <w:rFonts w:ascii="Times New Roman" w:hAnsi="Times New Roman" w:eastAsia="仿宋_GB2312"/>
          <w:sz w:val="30"/>
          <w:szCs w:val="30"/>
        </w:rPr>
        <w:t>.1地</w:t>
      </w:r>
      <w:r>
        <w:rPr>
          <w:rFonts w:hint="eastAsia" w:ascii="Times New Roman" w:hAnsi="Times New Roman" w:eastAsia="仿宋_GB2312"/>
          <w:sz w:val="30"/>
          <w:szCs w:val="30"/>
          <w:lang w:eastAsia="zh-CN"/>
        </w:rPr>
        <w:t>层</w:t>
      </w:r>
      <w:bookmarkEnd w:id="69"/>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矿区大地构造位置为华北断块（Ⅱ级区划）、临汾－运城新裂陷（III级区划）、稷王山陷隆(Ⅳ级区划)的北东部。根据2018年8月中国冶金地质总局第三地质勘查院编制的《山西省曲沃县自得建材有限公司石料片麻岩石英岩矿资源储量核实报告》和本次综合地面调查，矿区及附近地层有寒武系中统霍山组(∈2h)、寒武系中统馒头组(∈2m)和第四系（Q）地层。</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⑴ 寒武系中统霍山组(∈2h)</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灰白色、白色厚层状石英砂岩夹薄层石英砂岩。交错层理发育硅质胶结，石英粒具明显加大边。厚约10m。与下伏新太古界片麻岩角度不整合接触。</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⑵ 寒武系中统馒头组(∈2m)</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上部为灰色中厚层白云质灰岩。下部以黄灰色、黄绿色泥灰岩为主，夹薄层灰岩、白云岩或页岩。底部有一层厚不足1m的灰白色钙质角砾岩。出露厚度10-35m，未见顶。</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⑶ 第四系中更新统（Q2）</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岩性为浅棕黄色粉质黏土夹红色黏土和钙质结核层，覆盖于基岩之上，厚度在0-10m。</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⒉ 岩浆岩</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矿区内岩浆岩为太古界涑水期变质中酸性侵入岩，岩性为黑云钾长片麻岩，黑灰浅肉红色，矿物成分黑云母10-15%，钾长石20-30%，石英40-45%，其它（磁铁矿等）5-8%。片麻状构造，片麻理产状倾向17°，倾角18°，局部为块状构造。</w:t>
      </w:r>
    </w:p>
    <w:p>
      <w:pPr>
        <w:pStyle w:val="5"/>
        <w:spacing w:before="0" w:after="120" w:line="360" w:lineRule="auto"/>
        <w:outlineLvl w:val="1"/>
        <w:rPr>
          <w:rFonts w:ascii="Times New Roman" w:hAnsi="Times New Roman" w:eastAsia="仿宋_GB2312"/>
          <w:sz w:val="30"/>
          <w:szCs w:val="30"/>
        </w:rPr>
      </w:pPr>
      <w:bookmarkStart w:id="70" w:name="_Toc2641"/>
      <w:r>
        <w:rPr>
          <w:rFonts w:ascii="Times New Roman" w:hAnsi="Times New Roman" w:eastAsia="仿宋_GB2312"/>
          <w:sz w:val="30"/>
          <w:szCs w:val="30"/>
        </w:rPr>
        <w:t>2.</w:t>
      </w:r>
      <w:r>
        <w:rPr>
          <w:rFonts w:hint="eastAsia" w:ascii="Times New Roman" w:hAnsi="Times New Roman" w:eastAsia="仿宋_GB2312"/>
          <w:sz w:val="30"/>
          <w:szCs w:val="30"/>
          <w:lang w:val="en-US" w:eastAsia="zh-CN"/>
        </w:rPr>
        <w:t>7</w:t>
      </w:r>
      <w:r>
        <w:rPr>
          <w:rFonts w:ascii="Times New Roman" w:hAnsi="Times New Roman" w:eastAsia="仿宋_GB2312"/>
          <w:sz w:val="30"/>
          <w:szCs w:val="30"/>
        </w:rPr>
        <w:t>.2地质构造</w:t>
      </w:r>
      <w:bookmarkEnd w:id="70"/>
    </w:p>
    <w:p>
      <w:pPr>
        <w:spacing w:line="360" w:lineRule="auto"/>
        <w:ind w:firstLine="480" w:firstLineChars="200"/>
        <w:rPr>
          <w:rFonts w:hint="eastAsia" w:ascii="Times New Roman" w:hAnsi="Times New Roman" w:eastAsia="仿宋_GB2312" w:cs="Times New Roman"/>
          <w:spacing w:val="0"/>
          <w:kern w:val="2"/>
          <w:sz w:val="24"/>
          <w:szCs w:val="24"/>
          <w:lang w:val="en-US" w:eastAsia="zh-CN" w:bidi="ar-SA"/>
        </w:rPr>
      </w:pPr>
      <w:r>
        <w:rPr>
          <w:rFonts w:hint="eastAsia" w:ascii="Times New Roman" w:hAnsi="Times New Roman" w:eastAsia="仿宋_GB2312"/>
          <w:sz w:val="24"/>
          <w:szCs w:val="24"/>
        </w:rPr>
        <w:t>矿区地质构造分两个构造层，其一为太古界变质构造层，经历了两次以上构造变形，变形复杂，构造线走向100-280º，片麻理倾向17°，倾角18°。其二为升降运动为主的构造层，叠加太古界变质构造层之上寒武系，单斜产出，倾向南南西，倾角8—9°。矿区除片麻岩、石英砂岩外，未发现其它有工业利用价值矿产资源。</w:t>
      </w:r>
    </w:p>
    <w:p>
      <w:pPr>
        <w:pStyle w:val="5"/>
        <w:spacing w:before="0" w:after="120" w:line="360" w:lineRule="auto"/>
        <w:outlineLvl w:val="1"/>
        <w:rPr>
          <w:rFonts w:ascii="Times New Roman" w:hAnsi="Times New Roman" w:eastAsia="仿宋_GB2312"/>
          <w:sz w:val="30"/>
          <w:szCs w:val="30"/>
        </w:rPr>
      </w:pPr>
      <w:bookmarkStart w:id="71" w:name="_Toc26628"/>
      <w:r>
        <w:rPr>
          <w:rFonts w:ascii="Times New Roman" w:hAnsi="Times New Roman" w:eastAsia="仿宋_GB2312"/>
          <w:sz w:val="30"/>
          <w:szCs w:val="30"/>
        </w:rPr>
        <w:t>2.</w:t>
      </w:r>
      <w:r>
        <w:rPr>
          <w:rFonts w:hint="eastAsia" w:ascii="Times New Roman" w:hAnsi="Times New Roman" w:eastAsia="仿宋_GB2312"/>
          <w:sz w:val="30"/>
          <w:szCs w:val="30"/>
          <w:lang w:val="en-US" w:eastAsia="zh-CN"/>
        </w:rPr>
        <w:t>7</w:t>
      </w:r>
      <w:r>
        <w:rPr>
          <w:rFonts w:ascii="Times New Roman" w:hAnsi="Times New Roman" w:eastAsia="仿宋_GB2312"/>
          <w:sz w:val="30"/>
          <w:szCs w:val="30"/>
        </w:rPr>
        <w:t>.3地震</w:t>
      </w:r>
      <w:bookmarkEnd w:id="71"/>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根据《中国地震动参数区划图》（GB18306-2015），附录C.表C.4山西省城镇Ⅱ类场地基本地震动峰值加速度值和基本地震动加速度反应谱特征周期值列表，曲沃县里村镇Ⅱ类场地基本地震动峰值加速度值0.20g，基本地震动加速度反应谱特征周期值0.40s。根据GB50011—2010《建筑抗震设计规范》，对应的地震烈度为Ⅷ度。曲沃县位于临汾盆地内，临汾盆地内断裂构造较为发育，控制性断裂多为活动性断层，并由它们的活动引发了许多强震，属汾渭地震活动带。</w:t>
      </w:r>
    </w:p>
    <w:p>
      <w:pPr>
        <w:pStyle w:val="5"/>
        <w:spacing w:before="0" w:after="120" w:line="360" w:lineRule="auto"/>
        <w:outlineLvl w:val="1"/>
        <w:rPr>
          <w:rFonts w:ascii="Times New Roman" w:hAnsi="Times New Roman" w:eastAsia="仿宋_GB2312"/>
          <w:sz w:val="30"/>
          <w:szCs w:val="30"/>
        </w:rPr>
      </w:pPr>
      <w:bookmarkStart w:id="72" w:name="_Toc24769"/>
      <w:r>
        <w:rPr>
          <w:rFonts w:ascii="Times New Roman" w:hAnsi="Times New Roman" w:eastAsia="仿宋_GB2312"/>
          <w:sz w:val="30"/>
          <w:szCs w:val="30"/>
        </w:rPr>
        <w:t>2.</w:t>
      </w:r>
      <w:r>
        <w:rPr>
          <w:rFonts w:hint="eastAsia" w:ascii="Times New Roman" w:hAnsi="Times New Roman" w:eastAsia="仿宋_GB2312"/>
          <w:sz w:val="30"/>
          <w:szCs w:val="30"/>
          <w:lang w:val="en-US" w:eastAsia="zh-CN"/>
        </w:rPr>
        <w:t>7</w:t>
      </w:r>
      <w:r>
        <w:rPr>
          <w:rFonts w:ascii="Times New Roman" w:hAnsi="Times New Roman" w:eastAsia="仿宋_GB2312"/>
          <w:sz w:val="30"/>
          <w:szCs w:val="30"/>
        </w:rPr>
        <w:t>.4水文地质</w:t>
      </w:r>
      <w:bookmarkEnd w:id="72"/>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⑴ 含水层</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矿区位于临汾盆地南部紫金山次级隆起区北坡低山侵蚀——剥蚀地貌区，根据《山西省曲沃县自得建材有限公司石料片麻岩石英岩矿资源储量核实报告》和本次调查情况综合分析，矿区主要含水层有片麻岩裂隙含水层、石英砂岩碳酸盐岩岩溶裂隙含水层和松散岩类孔隙含水层。</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①片麻岩风化裂隙含水层</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片麻岩风化裂隙含水层为矿区主要含水层，岩性为太古界涑水期变质中酸性侵入黑云钾长片麻岩，致密，最大风化深度约70m，风化程度弱，节理裂隙发育程度弱，且随着埋深加大风化程度减弱，富水性较弱，没有统一地下水位。</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②石英砂岩裂隙含水层</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寒武系中统霍山组厚层石英砂岩夹薄层石英砂岩，交错层理发育，硅质胶结，耐风化，裂隙较发育，开放性差，富水性弱。</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③碳酸盐岩岩溶裂隙含水层</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含水层岩性寒武系中统馒头组白云质灰岩、泥灰岩、白云岩和钙质角砾岩等，裂隙岩溶发育程度弱，富水性弱。</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④松散岩类孔隙含水层</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松散岩类孔隙含水层岩性为第四系中更新统粉质黏土，较松散，垂直节理发育，分布位置较高，含水层透水不含水。</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⑵ 地下水补给、径流与排泄条件</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①片麻岩风化裂隙水</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主要接受大气降水的入渗补给，径流方向受地形控制由高处向低处径流，侧向渗出排泄于沟谷，或蒸发排泄。</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② 石英砂岩溶裂隙水</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主要接受大气降水的入渗补给，上部含水层补给，顺层面自北北东向南南西向径流，侧向渗出排泄于沟谷，或蒸发排泄。</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③碳酸盐岩岩溶裂隙水</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主要接受大气降水的入渗补给，上部含水层补给，顺层面自北北东向南南西向径流，侧向渗出排泄于沟谷，或蒸发排泄。</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④松散岩类孔隙水</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含水层接受大气降水的入渗补给，向下排入片麻岩类裂隙含水层、此外还有侧向渗出排泄、蒸发排泄。矿区水文地质条件简单。</w:t>
      </w:r>
    </w:p>
    <w:p>
      <w:pPr>
        <w:pStyle w:val="5"/>
        <w:spacing w:before="0" w:after="120" w:line="360" w:lineRule="auto"/>
        <w:outlineLvl w:val="1"/>
        <w:rPr>
          <w:rFonts w:ascii="Times New Roman" w:hAnsi="Times New Roman" w:eastAsia="仿宋_GB2312"/>
          <w:sz w:val="30"/>
          <w:szCs w:val="30"/>
        </w:rPr>
      </w:pPr>
      <w:bookmarkStart w:id="73" w:name="_Toc12412"/>
      <w:r>
        <w:rPr>
          <w:rFonts w:ascii="Times New Roman" w:hAnsi="Times New Roman" w:eastAsia="仿宋_GB2312"/>
          <w:sz w:val="30"/>
          <w:szCs w:val="30"/>
        </w:rPr>
        <w:t>2.</w:t>
      </w:r>
      <w:r>
        <w:rPr>
          <w:rFonts w:hint="eastAsia" w:ascii="Times New Roman" w:hAnsi="Times New Roman" w:eastAsia="仿宋_GB2312"/>
          <w:sz w:val="30"/>
          <w:szCs w:val="30"/>
          <w:lang w:val="en-US" w:eastAsia="zh-CN"/>
        </w:rPr>
        <w:t>7</w:t>
      </w:r>
      <w:r>
        <w:rPr>
          <w:rFonts w:ascii="Times New Roman" w:hAnsi="Times New Roman" w:eastAsia="仿宋_GB2312"/>
          <w:sz w:val="30"/>
          <w:szCs w:val="30"/>
        </w:rPr>
        <w:t>.5地形地貌</w:t>
      </w:r>
      <w:bookmarkEnd w:id="73"/>
    </w:p>
    <w:p>
      <w:pPr>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szCs w:val="24"/>
          <w:lang w:val="zh-TW" w:eastAsia="zh-CN"/>
        </w:rPr>
        <w:t>曲</w:t>
      </w:r>
      <w:r>
        <w:rPr>
          <w:rFonts w:hint="eastAsia" w:ascii="Times New Roman" w:hAnsi="Times New Roman" w:eastAsia="仿宋_GB2312"/>
          <w:sz w:val="24"/>
        </w:rPr>
        <w:t>矿区位于紫金山东部北坡，属低山侵蚀——剥蚀地貌，地形坡度大，沟谷发育，西区总体地势西高东低，南高北低，最高点位于西部山梁，海拔标高702m，最低点位于南部裴南沟，海拔标高620m；相对高差约82m，地形坡度15～40°；东区总体地势西东低中间高，南高北低，最高点位于南部山梁，海拔标高776m，最低点位于北东部沟谷，海拔标高665m；相对高差约111m，地形坡度15～40°；矿区一带植被发育程度较低，覆盖率约为20%。矿区主要沟谷有裴南沟和山底沟。</w:t>
      </w:r>
    </w:p>
    <w:p>
      <w:pPr>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rPr>
        <w:t>裴南沟位于东区和西区之间，沟谷总体走向南西——北东向，沟谷总长3.0 km，汇水面积3.8km</w:t>
      </w:r>
      <w:r>
        <w:rPr>
          <w:rFonts w:hint="eastAsia" w:ascii="Times New Roman" w:hAnsi="Times New Roman" w:eastAsia="仿宋_GB2312"/>
          <w:sz w:val="24"/>
          <w:vertAlign w:val="superscript"/>
        </w:rPr>
        <w:t>2</w:t>
      </w:r>
      <w:r>
        <w:rPr>
          <w:rFonts w:hint="eastAsia" w:ascii="Times New Roman" w:hAnsi="Times New Roman" w:eastAsia="仿宋_GB2312"/>
          <w:sz w:val="24"/>
        </w:rPr>
        <w:t>，纵坡坡度73‰。两侧山坡坡度一般15～40°之间，最大切割深度约150m，沟谷横断面形态呈“V”字型，流域内主要为太古界五台期变质中酸性侵入岩分布区，第四系中更新统黄土及残坡积物零星分布，谷底基岩裸露。矿区位于该沟谷中下游地带。</w:t>
      </w:r>
    </w:p>
    <w:p>
      <w:pPr>
        <w:spacing w:line="360" w:lineRule="auto"/>
        <w:ind w:firstLine="480" w:firstLineChars="200"/>
        <w:rPr>
          <w:rFonts w:hint="eastAsia" w:ascii="Times New Roman" w:hAnsi="Times New Roman" w:eastAsia="仿宋_GB2312"/>
          <w:sz w:val="24"/>
          <w:szCs w:val="24"/>
          <w:lang w:val="zh-TW" w:eastAsia="zh-CN"/>
        </w:rPr>
      </w:pPr>
    </w:p>
    <w:p>
      <w:pPr>
        <w:pStyle w:val="5"/>
        <w:spacing w:before="0" w:after="120" w:line="360" w:lineRule="auto"/>
        <w:outlineLvl w:val="1"/>
        <w:rPr>
          <w:rFonts w:ascii="Times New Roman" w:hAnsi="Times New Roman" w:eastAsia="仿宋_GB2312"/>
          <w:sz w:val="30"/>
          <w:szCs w:val="30"/>
        </w:rPr>
      </w:pPr>
      <w:bookmarkStart w:id="74" w:name="_Toc1321"/>
      <w:r>
        <w:rPr>
          <w:rFonts w:ascii="Times New Roman" w:hAnsi="Times New Roman" w:eastAsia="仿宋_GB2312"/>
          <w:sz w:val="30"/>
          <w:szCs w:val="30"/>
        </w:rPr>
        <w:t>2.</w:t>
      </w:r>
      <w:r>
        <w:rPr>
          <w:rFonts w:hint="eastAsia" w:ascii="Times New Roman" w:hAnsi="Times New Roman" w:eastAsia="仿宋_GB2312"/>
          <w:sz w:val="30"/>
          <w:szCs w:val="30"/>
          <w:lang w:val="en-US" w:eastAsia="zh-CN"/>
        </w:rPr>
        <w:t>7</w:t>
      </w:r>
      <w:r>
        <w:rPr>
          <w:rFonts w:ascii="Times New Roman" w:hAnsi="Times New Roman" w:eastAsia="仿宋_GB2312"/>
          <w:sz w:val="30"/>
          <w:szCs w:val="30"/>
        </w:rPr>
        <w:t>.6气候气象</w:t>
      </w:r>
      <w:bookmarkEnd w:id="74"/>
    </w:p>
    <w:p>
      <w:pPr>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rPr>
        <w:t>曲沃县处于中纬度地区，属暖温带半干旱大陆性季风气候，四季分明，春冬季寒冷多风，夏秋季湿润多雨。据曲沃县气象局1996年～2018年的气象资料，最低气温达-24℃，最高气温达38℃，年平均气温8.6℃。年平均最小降水量380.6mm，年平均最大降水量611.4mm，年平均降水量608mm。历年日最大降水量122.1mm（1998年7月16日），历年一小时最大降水量45.3mm（1995年7月22日21时至22时），10分钟最大降水量19.9mm（1995年7月22日3时15分至25分）。年平均最小蒸发量1519.6mm，年平均最大蒸发量1927.1mm，年平均蒸发量1723.7mm，蒸发量为降水量三倍多。结冰期为10月下旬至次年3月。无霜期180天，最大冻土深度53cm。</w:t>
      </w:r>
    </w:p>
    <w:p>
      <w:pPr>
        <w:pStyle w:val="5"/>
        <w:spacing w:before="0" w:after="120" w:line="360" w:lineRule="auto"/>
        <w:outlineLvl w:val="1"/>
        <w:rPr>
          <w:rFonts w:ascii="Times New Roman" w:hAnsi="Times New Roman" w:eastAsia="仿宋_GB2312"/>
          <w:sz w:val="30"/>
          <w:szCs w:val="30"/>
        </w:rPr>
      </w:pPr>
      <w:bookmarkStart w:id="75" w:name="_Toc9848"/>
      <w:r>
        <w:rPr>
          <w:rFonts w:ascii="Times New Roman" w:hAnsi="Times New Roman" w:eastAsia="仿宋_GB2312"/>
          <w:sz w:val="30"/>
          <w:szCs w:val="30"/>
        </w:rPr>
        <w:t>2.</w:t>
      </w:r>
      <w:r>
        <w:rPr>
          <w:rFonts w:hint="eastAsia" w:ascii="Times New Roman" w:hAnsi="Times New Roman" w:eastAsia="仿宋_GB2312"/>
          <w:sz w:val="30"/>
          <w:szCs w:val="30"/>
          <w:lang w:val="en-US" w:eastAsia="zh-CN"/>
        </w:rPr>
        <w:t>7</w:t>
      </w:r>
      <w:r>
        <w:rPr>
          <w:rFonts w:ascii="Times New Roman" w:hAnsi="Times New Roman" w:eastAsia="仿宋_GB2312"/>
          <w:sz w:val="30"/>
          <w:szCs w:val="30"/>
        </w:rPr>
        <w:t>.7地表水系</w:t>
      </w:r>
      <w:bookmarkEnd w:id="75"/>
    </w:p>
    <w:p>
      <w:pPr>
        <w:spacing w:line="360" w:lineRule="auto"/>
        <w:ind w:firstLine="480" w:firstLineChars="200"/>
        <w:rPr>
          <w:rFonts w:hint="eastAsia" w:ascii="Times New Roman" w:hAnsi="Times New Roman" w:eastAsia="仿宋_GB2312"/>
          <w:bCs/>
          <w:sz w:val="24"/>
          <w:szCs w:val="24"/>
          <w:lang w:eastAsia="zh-CN"/>
        </w:rPr>
      </w:pPr>
      <w:r>
        <w:rPr>
          <w:rFonts w:hint="eastAsia" w:ascii="Times New Roman" w:hAnsi="Times New Roman" w:eastAsia="仿宋_GB2312"/>
          <w:sz w:val="24"/>
        </w:rPr>
        <w:t>矿区地表水系属黄河流域汾河支流浍河水系，地形切割较强烈，沟谷较发育，没有地表水体。强降水时，暂时性地表洪流汇聚于裴南沟、山底沟等沟谷，向北径流，在矿区北约3km的安鹄村北汇入浍河。</w:t>
      </w:r>
      <w:r>
        <w:rPr>
          <w:rFonts w:hint="eastAsia" w:ascii="Times New Roman" w:hAnsi="Times New Roman" w:eastAsia="仿宋_GB2312"/>
          <w:sz w:val="24"/>
          <w:lang w:eastAsia="zh-CN"/>
        </w:rPr>
        <w:t>项目区</w:t>
      </w:r>
      <w:r>
        <w:rPr>
          <w:rFonts w:hint="eastAsia" w:ascii="Times New Roman" w:hAnsi="Times New Roman" w:eastAsia="仿宋_GB2312"/>
          <w:sz w:val="24"/>
        </w:rPr>
        <w:t>内每年雨</w:t>
      </w:r>
      <w:r>
        <w:rPr>
          <w:rFonts w:hint="eastAsia" w:ascii="Times New Roman" w:hAnsi="Times New Roman" w:eastAsia="仿宋_GB2312"/>
          <w:sz w:val="24"/>
          <w:lang w:eastAsia="zh-CN"/>
        </w:rPr>
        <w:t>季</w:t>
      </w:r>
      <w:r>
        <w:rPr>
          <w:rFonts w:hint="eastAsia" w:ascii="Times New Roman" w:hAnsi="Times New Roman" w:eastAsia="仿宋_GB2312"/>
          <w:sz w:val="24"/>
        </w:rPr>
        <w:t>时</w:t>
      </w:r>
      <w:r>
        <w:rPr>
          <w:rFonts w:hint="eastAsia" w:ascii="Times New Roman" w:hAnsi="Times New Roman" w:eastAsia="仿宋_GB2312"/>
          <w:sz w:val="24"/>
          <w:lang w:eastAsia="zh-CN"/>
        </w:rPr>
        <w:t>汇流面积不大</w:t>
      </w:r>
      <w:r>
        <w:rPr>
          <w:rFonts w:hint="eastAsia" w:ascii="Times New Roman" w:hAnsi="Times New Roman" w:eastAsia="仿宋_GB2312"/>
          <w:sz w:val="24"/>
        </w:rPr>
        <w:t>，枯水季节多干涸</w:t>
      </w:r>
      <w:r>
        <w:rPr>
          <w:rFonts w:hint="eastAsia" w:ascii="Times New Roman" w:hAnsi="Times New Roman" w:eastAsia="仿宋_GB2312"/>
          <w:bCs/>
          <w:sz w:val="24"/>
          <w:szCs w:val="24"/>
          <w:lang w:eastAsia="zh-CN"/>
        </w:rPr>
        <w:t>。</w:t>
      </w:r>
    </w:p>
    <w:p>
      <w:pPr>
        <w:pStyle w:val="5"/>
        <w:spacing w:before="0" w:after="120" w:line="360" w:lineRule="auto"/>
        <w:outlineLvl w:val="1"/>
        <w:rPr>
          <w:rFonts w:ascii="Times New Roman" w:hAnsi="Times New Roman" w:eastAsia="仿宋_GB2312"/>
          <w:sz w:val="30"/>
          <w:szCs w:val="30"/>
        </w:rPr>
      </w:pPr>
      <w:bookmarkStart w:id="76" w:name="_Toc25528"/>
      <w:r>
        <w:rPr>
          <w:rFonts w:ascii="Times New Roman" w:hAnsi="Times New Roman" w:eastAsia="仿宋_GB2312"/>
          <w:sz w:val="30"/>
          <w:szCs w:val="30"/>
        </w:rPr>
        <w:t>2.</w:t>
      </w:r>
      <w:r>
        <w:rPr>
          <w:rFonts w:hint="eastAsia" w:ascii="Times New Roman" w:hAnsi="Times New Roman" w:eastAsia="仿宋_GB2312"/>
          <w:sz w:val="30"/>
          <w:szCs w:val="30"/>
          <w:lang w:val="en-US" w:eastAsia="zh-CN"/>
        </w:rPr>
        <w:t>7</w:t>
      </w:r>
      <w:r>
        <w:rPr>
          <w:rFonts w:ascii="Times New Roman" w:hAnsi="Times New Roman" w:eastAsia="仿宋_GB2312"/>
          <w:sz w:val="30"/>
          <w:szCs w:val="30"/>
        </w:rPr>
        <w:t>.8土壤</w:t>
      </w:r>
      <w:bookmarkEnd w:id="76"/>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rPr>
        <w:t>矿区土壤类型以褐土为主。成土母质主要有残坡积物、洪积物、堆垫及沟淤沉积物及黄土状物。表层质地以壤质为主，土壤有机质含量低。</w:t>
      </w:r>
    </w:p>
    <w:p>
      <w:pPr>
        <w:pStyle w:val="5"/>
        <w:spacing w:before="0" w:after="120" w:line="360" w:lineRule="auto"/>
        <w:outlineLvl w:val="1"/>
        <w:rPr>
          <w:rFonts w:ascii="Times New Roman" w:hAnsi="Times New Roman" w:eastAsia="仿宋_GB2312"/>
          <w:sz w:val="30"/>
          <w:szCs w:val="30"/>
        </w:rPr>
      </w:pPr>
      <w:bookmarkStart w:id="77" w:name="_Toc2783"/>
      <w:r>
        <w:rPr>
          <w:rFonts w:ascii="Times New Roman" w:hAnsi="Times New Roman" w:eastAsia="仿宋_GB2312"/>
          <w:sz w:val="30"/>
          <w:szCs w:val="30"/>
        </w:rPr>
        <w:t>2.</w:t>
      </w:r>
      <w:r>
        <w:rPr>
          <w:rFonts w:hint="eastAsia" w:ascii="Times New Roman" w:hAnsi="Times New Roman" w:eastAsia="仿宋_GB2312"/>
          <w:sz w:val="30"/>
          <w:szCs w:val="30"/>
          <w:lang w:val="en-US" w:eastAsia="zh-CN"/>
        </w:rPr>
        <w:t>7</w:t>
      </w:r>
      <w:r>
        <w:rPr>
          <w:rFonts w:ascii="Times New Roman" w:hAnsi="Times New Roman" w:eastAsia="仿宋_GB2312"/>
          <w:sz w:val="30"/>
          <w:szCs w:val="30"/>
        </w:rPr>
        <w:t>.9植被</w:t>
      </w:r>
      <w:bookmarkEnd w:id="77"/>
    </w:p>
    <w:p>
      <w:pPr>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rPr>
        <w:t>矿区属北暖温带落叶针叶——阔叶林带，植被覆盖度较低，约为20%，草本植物为主，有苜蓿、无芒雀麦和蒿类等。其次为灌丛，主要有荆条、黄刺玫、酸枣等。</w:t>
      </w:r>
    </w:p>
    <w:p>
      <w:pPr>
        <w:rPr>
          <w:rFonts w:hint="eastAsia"/>
        </w:rPr>
      </w:pPr>
      <w:r>
        <w:rPr>
          <w:rFonts w:hint="eastAsia"/>
        </w:rPr>
        <w:br w:type="page"/>
      </w:r>
    </w:p>
    <w:p>
      <w:pPr>
        <w:pStyle w:val="3"/>
        <w:rPr>
          <w:rFonts w:ascii="Times New Roman" w:hAnsi="Times New Roman" w:eastAsia="仿宋_GB2312"/>
        </w:rPr>
      </w:pPr>
      <w:bookmarkStart w:id="78" w:name="_Toc29031"/>
      <w:bookmarkStart w:id="79" w:name="_Toc18609"/>
      <w:r>
        <w:rPr>
          <w:rFonts w:ascii="Times New Roman" w:hAnsi="Times New Roman" w:eastAsia="仿宋_GB2312"/>
        </w:rPr>
        <w:t>3项目水土保持评价</w:t>
      </w:r>
      <w:bookmarkEnd w:id="78"/>
      <w:bookmarkEnd w:id="79"/>
    </w:p>
    <w:p>
      <w:pPr>
        <w:pStyle w:val="4"/>
        <w:spacing w:before="120" w:after="120" w:line="360" w:lineRule="auto"/>
        <w:ind w:firstLine="0"/>
        <w:rPr>
          <w:rFonts w:ascii="Times New Roman" w:hAnsi="Times New Roman" w:eastAsia="仿宋_GB2312" w:cs="Times New Roman"/>
          <w:b/>
          <w:bCs/>
          <w:sz w:val="32"/>
          <w:szCs w:val="32"/>
        </w:rPr>
      </w:pPr>
      <w:bookmarkStart w:id="80" w:name="_Toc32713"/>
      <w:bookmarkStart w:id="81" w:name="_Toc22020"/>
      <w:r>
        <w:rPr>
          <w:rFonts w:ascii="Times New Roman" w:hAnsi="Times New Roman" w:eastAsia="仿宋_GB2312" w:cs="Times New Roman"/>
          <w:b/>
          <w:bCs/>
          <w:sz w:val="32"/>
          <w:szCs w:val="32"/>
        </w:rPr>
        <w:t>3.1主体工程选址水土保持评价</w:t>
      </w:r>
      <w:bookmarkEnd w:id="80"/>
      <w:bookmarkEnd w:id="81"/>
    </w:p>
    <w:p>
      <w:pPr>
        <w:pStyle w:val="5"/>
        <w:spacing w:before="0" w:after="120" w:line="360" w:lineRule="auto"/>
        <w:rPr>
          <w:rFonts w:ascii="Times New Roman" w:hAnsi="Times New Roman" w:eastAsia="仿宋_GB2312"/>
          <w:sz w:val="30"/>
          <w:szCs w:val="30"/>
        </w:rPr>
      </w:pPr>
      <w:bookmarkStart w:id="82" w:name="_Toc505703193"/>
      <w:bookmarkStart w:id="83" w:name="_Toc481667064"/>
      <w:bookmarkStart w:id="84" w:name="_Toc530486080"/>
      <w:r>
        <w:rPr>
          <w:rFonts w:ascii="Times New Roman" w:hAnsi="Times New Roman" w:eastAsia="仿宋_GB2312"/>
          <w:sz w:val="30"/>
          <w:szCs w:val="30"/>
        </w:rPr>
        <w:t>3.1.1主体工程选址水土保持制约性因素分析与评价</w:t>
      </w:r>
      <w:bookmarkEnd w:id="82"/>
      <w:bookmarkEnd w:id="83"/>
      <w:bookmarkEnd w:id="84"/>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本工程符合《产业结构调整指导目录（2011年本）》（2018年修正）要求，属于产业结构调整指导</w:t>
      </w:r>
      <w:r>
        <w:rPr>
          <w:rFonts w:ascii="Times New Roman" w:hAnsi="Times New Roman" w:eastAsia="仿宋_GB2312"/>
          <w:kern w:val="0"/>
          <w:sz w:val="24"/>
          <w:szCs w:val="24"/>
        </w:rPr>
        <w:fldChar w:fldCharType="begin"/>
      </w:r>
      <w:r>
        <w:rPr>
          <w:rFonts w:ascii="Times New Roman" w:hAnsi="Times New Roman" w:eastAsia="仿宋_GB2312"/>
          <w:kern w:val="0"/>
          <w:sz w:val="24"/>
          <w:szCs w:val="24"/>
        </w:rPr>
        <w:instrText xml:space="preserve"> HYPERLINK "http://www.china.com.cn/policy/txt/2011-04/26/content_22444177.htm" </w:instrText>
      </w:r>
      <w:r>
        <w:rPr>
          <w:rFonts w:ascii="Times New Roman" w:hAnsi="Times New Roman" w:eastAsia="仿宋_GB2312"/>
          <w:kern w:val="0"/>
          <w:sz w:val="24"/>
          <w:szCs w:val="24"/>
        </w:rPr>
        <w:fldChar w:fldCharType="separate"/>
      </w:r>
      <w:r>
        <w:rPr>
          <w:rStyle w:val="30"/>
          <w:rFonts w:ascii="Times New Roman" w:hAnsi="Times New Roman" w:eastAsia="仿宋_GB2312"/>
          <w:color w:val="auto"/>
          <w:kern w:val="0"/>
          <w:sz w:val="24"/>
          <w:szCs w:val="24"/>
          <w:u w:val="none"/>
        </w:rPr>
        <w:t>目录</w:t>
      </w:r>
      <w:r>
        <w:rPr>
          <w:rFonts w:ascii="Times New Roman" w:hAnsi="Times New Roman" w:eastAsia="仿宋_GB2312"/>
          <w:kern w:val="0"/>
          <w:sz w:val="24"/>
          <w:szCs w:val="24"/>
        </w:rPr>
        <w:fldChar w:fldCharType="end"/>
      </w:r>
      <w:r>
        <w:rPr>
          <w:rFonts w:ascii="Times New Roman" w:hAnsi="Times New Roman" w:eastAsia="仿宋_GB2312"/>
          <w:kern w:val="0"/>
          <w:sz w:val="24"/>
          <w:szCs w:val="24"/>
        </w:rPr>
        <w:t>中鼓励类项目。</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依据《中华人民共和国水土保持法》（2011年3月）、《水利部关于严格开发建设项目水土保持方案审查审批工作的通知》（水保[2007]184号文）及《生产建设项目水土保持技术标准》（GB/T50433-2018）中规定的有关限制性条款进行分析，本项目不涉及饮用水水源保护区、自然保护区、世界文化和自然遗产地、风景名胜区、地质公园、森林公园、重要湿地。本项目区选址合理，在采取有效的水土保持防治措施后，不存在水土保持制约性因素。详见表3-1。</w:t>
      </w:r>
    </w:p>
    <w:p>
      <w:pPr>
        <w:spacing w:before="156" w:beforeLines="50"/>
        <w:jc w:val="center"/>
        <w:rPr>
          <w:rFonts w:ascii="Times New Roman" w:hAnsi="Times New Roman" w:eastAsia="仿宋_GB2312"/>
          <w:szCs w:val="21"/>
        </w:rPr>
      </w:pPr>
      <w:r>
        <w:rPr>
          <w:rFonts w:ascii="Times New Roman" w:hAnsi="Times New Roman" w:eastAsia="仿宋_GB2312"/>
          <w:b/>
          <w:bCs/>
          <w:sz w:val="24"/>
        </w:rPr>
        <w:br w:type="page"/>
      </w:r>
      <w:r>
        <w:rPr>
          <w:rFonts w:ascii="Times New Roman" w:hAnsi="Times New Roman" w:eastAsia="仿宋_GB2312"/>
          <w:b/>
          <w:bCs/>
          <w:sz w:val="24"/>
        </w:rPr>
        <w:t>表3-1  各类限制性规定分析与评价表</w:t>
      </w:r>
    </w:p>
    <w:tbl>
      <w:tblPr>
        <w:tblStyle w:val="24"/>
        <w:tblW w:w="9595" w:type="dxa"/>
        <w:jc w:val="center"/>
        <w:tblLayout w:type="fixed"/>
        <w:tblCellMar>
          <w:top w:w="0" w:type="dxa"/>
          <w:left w:w="108" w:type="dxa"/>
          <w:bottom w:w="0" w:type="dxa"/>
          <w:right w:w="108" w:type="dxa"/>
        </w:tblCellMar>
      </w:tblPr>
      <w:tblGrid>
        <w:gridCol w:w="620"/>
        <w:gridCol w:w="6145"/>
        <w:gridCol w:w="1549"/>
        <w:gridCol w:w="1281"/>
      </w:tblGrid>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仿宋_GB2312"/>
                <w:b/>
                <w:bCs/>
                <w:sz w:val="20"/>
                <w:szCs w:val="20"/>
              </w:rPr>
            </w:pPr>
            <w:r>
              <w:rPr>
                <w:rFonts w:ascii="Times New Roman" w:hAnsi="Times New Roman" w:eastAsia="仿宋_GB2312"/>
                <w:b/>
                <w:bCs/>
                <w:sz w:val="20"/>
                <w:szCs w:val="20"/>
              </w:rPr>
              <w:t>序号</w:t>
            </w:r>
          </w:p>
        </w:tc>
        <w:tc>
          <w:tcPr>
            <w:tcW w:w="6145"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b/>
                <w:bCs/>
                <w:sz w:val="20"/>
                <w:szCs w:val="20"/>
              </w:rPr>
            </w:pPr>
            <w:r>
              <w:rPr>
                <w:rFonts w:ascii="Times New Roman" w:hAnsi="Times New Roman" w:eastAsia="仿宋_GB2312"/>
                <w:b/>
                <w:bCs/>
                <w:sz w:val="20"/>
                <w:szCs w:val="20"/>
              </w:rPr>
              <w:t>制约性条款</w:t>
            </w:r>
          </w:p>
        </w:tc>
        <w:tc>
          <w:tcPr>
            <w:tcW w:w="15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b/>
                <w:bCs/>
                <w:sz w:val="20"/>
                <w:szCs w:val="20"/>
              </w:rPr>
            </w:pPr>
            <w:r>
              <w:rPr>
                <w:rFonts w:ascii="Times New Roman" w:hAnsi="Times New Roman" w:eastAsia="仿宋_GB2312"/>
                <w:b/>
                <w:bCs/>
                <w:sz w:val="20"/>
                <w:szCs w:val="20"/>
              </w:rPr>
              <w:t>项目情况</w:t>
            </w:r>
          </w:p>
        </w:tc>
        <w:tc>
          <w:tcPr>
            <w:tcW w:w="1281"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b/>
                <w:bCs/>
                <w:sz w:val="20"/>
                <w:szCs w:val="20"/>
              </w:rPr>
            </w:pPr>
            <w:r>
              <w:rPr>
                <w:rFonts w:ascii="Times New Roman" w:hAnsi="Times New Roman" w:eastAsia="仿宋_GB2312"/>
                <w:b/>
                <w:bCs/>
                <w:sz w:val="20"/>
                <w:szCs w:val="20"/>
              </w:rPr>
              <w:t>评价</w:t>
            </w:r>
          </w:p>
        </w:tc>
      </w:tr>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一</w:t>
            </w:r>
          </w:p>
        </w:tc>
        <w:tc>
          <w:tcPr>
            <w:tcW w:w="8975" w:type="dxa"/>
            <w:gridSpan w:val="3"/>
            <w:tcBorders>
              <w:top w:val="single" w:color="auto" w:sz="4" w:space="0"/>
              <w:left w:val="nil"/>
              <w:bottom w:val="single" w:color="auto" w:sz="4" w:space="0"/>
              <w:right w:val="single" w:color="auto" w:sz="4" w:space="0"/>
            </w:tcBorders>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《中华人民共和国水土保持法》</w:t>
            </w:r>
          </w:p>
        </w:tc>
      </w:tr>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1</w:t>
            </w:r>
          </w:p>
        </w:tc>
        <w:tc>
          <w:tcPr>
            <w:tcW w:w="6145" w:type="dxa"/>
            <w:tcBorders>
              <w:top w:val="single" w:color="auto" w:sz="4" w:space="0"/>
              <w:left w:val="nil"/>
              <w:bottom w:val="single" w:color="auto" w:sz="4" w:space="0"/>
              <w:right w:val="single" w:color="auto" w:sz="4" w:space="0"/>
            </w:tcBorders>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第十七条：禁止在崩塌、滑坡危险区和泥石流易发区从事取土、挖沙、采石等可能造成水土流失的活动。</w:t>
            </w:r>
          </w:p>
        </w:tc>
        <w:tc>
          <w:tcPr>
            <w:tcW w:w="15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不存在</w:t>
            </w:r>
          </w:p>
        </w:tc>
        <w:tc>
          <w:tcPr>
            <w:tcW w:w="1281"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无制约性因素</w:t>
            </w:r>
          </w:p>
        </w:tc>
      </w:tr>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2</w:t>
            </w:r>
          </w:p>
        </w:tc>
        <w:tc>
          <w:tcPr>
            <w:tcW w:w="6145" w:type="dxa"/>
            <w:tcBorders>
              <w:top w:val="single" w:color="auto" w:sz="4" w:space="0"/>
              <w:left w:val="nil"/>
              <w:bottom w:val="single" w:color="auto" w:sz="4" w:space="0"/>
              <w:right w:val="single" w:color="auto" w:sz="4" w:space="0"/>
            </w:tcBorders>
            <w:noWrap w:val="0"/>
            <w:vAlign w:val="top"/>
          </w:tcPr>
          <w:p>
            <w:pPr>
              <w:spacing w:line="240" w:lineRule="exact"/>
              <w:rPr>
                <w:rFonts w:ascii="Times New Roman" w:hAnsi="Times New Roman" w:eastAsia="仿宋_GB2312"/>
                <w:sz w:val="20"/>
                <w:szCs w:val="20"/>
              </w:rPr>
            </w:pPr>
          </w:p>
          <w:p>
            <w:pPr>
              <w:spacing w:line="240" w:lineRule="exact"/>
              <w:rPr>
                <w:rFonts w:ascii="Times New Roman" w:hAnsi="Times New Roman" w:eastAsia="仿宋_GB2312"/>
                <w:sz w:val="20"/>
                <w:szCs w:val="20"/>
              </w:rPr>
            </w:pPr>
            <w:r>
              <w:rPr>
                <w:rFonts w:ascii="Times New Roman" w:hAnsi="Times New Roman" w:eastAsia="仿宋_GB2312"/>
                <w:sz w:val="20"/>
                <w:szCs w:val="20"/>
              </w:rPr>
              <w:t>第二十四条：生产建设项目选址、选线应当避让水土流失重点预防区和</w:t>
            </w:r>
            <w:r>
              <w:rPr>
                <w:rFonts w:hint="eastAsia" w:ascii="Times New Roman" w:hAnsi="Times New Roman" w:eastAsia="仿宋_GB2312"/>
                <w:sz w:val="20"/>
                <w:szCs w:val="20"/>
                <w:lang w:eastAsia="zh-CN"/>
              </w:rPr>
              <w:t>重点预防保护区</w:t>
            </w:r>
            <w:r>
              <w:rPr>
                <w:rFonts w:ascii="Times New Roman" w:hAnsi="Times New Roman" w:eastAsia="仿宋_GB2312"/>
                <w:sz w:val="20"/>
                <w:szCs w:val="20"/>
              </w:rPr>
              <w:t>；无法避让的，应当提高防治标准，优化施工工艺，减少地表扰动和植被损坏范围，有效控制可能造成的水土流失。</w:t>
            </w:r>
          </w:p>
        </w:tc>
        <w:tc>
          <w:tcPr>
            <w:tcW w:w="15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hint="eastAsia" w:ascii="Times New Roman" w:hAnsi="Times New Roman" w:eastAsia="仿宋_GB2312"/>
                <w:sz w:val="20"/>
                <w:szCs w:val="20"/>
              </w:rPr>
              <w:t>项目地处山西省水土流失</w:t>
            </w:r>
            <w:r>
              <w:rPr>
                <w:rFonts w:hint="eastAsia" w:ascii="Times New Roman" w:hAnsi="Times New Roman" w:eastAsia="仿宋_GB2312"/>
                <w:sz w:val="20"/>
                <w:szCs w:val="20"/>
                <w:lang w:eastAsia="zh-CN"/>
              </w:rPr>
              <w:t>重点预防保护区，</w:t>
            </w:r>
            <w:r>
              <w:rPr>
                <w:rFonts w:hint="eastAsia" w:ascii="Times New Roman" w:hAnsi="Times New Roman" w:eastAsia="仿宋_GB2312"/>
                <w:sz w:val="20"/>
                <w:szCs w:val="20"/>
              </w:rPr>
              <w:t>采取优化工艺，提高防治标准</w:t>
            </w:r>
          </w:p>
        </w:tc>
        <w:tc>
          <w:tcPr>
            <w:tcW w:w="1281"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提高防治标准后无制约性因素</w:t>
            </w:r>
          </w:p>
        </w:tc>
      </w:tr>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3</w:t>
            </w:r>
          </w:p>
        </w:tc>
        <w:tc>
          <w:tcPr>
            <w:tcW w:w="6145" w:type="dxa"/>
            <w:tcBorders>
              <w:top w:val="single" w:color="auto" w:sz="4" w:space="0"/>
              <w:left w:val="nil"/>
              <w:bottom w:val="single" w:color="auto" w:sz="4" w:space="0"/>
              <w:right w:val="single" w:color="auto" w:sz="4" w:space="0"/>
            </w:tcBorders>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第二十八条：依法应当编制水土保持方案的生产建设项目，其生产建设活动中排弃的砂、石、土、矸石、尾矿、废渣等应当综合利用；不能综合利用，确需废弃的，应当堆放在水土保持方案确定的专门存放地，并采取措施保证不产生新的危害。</w:t>
            </w:r>
          </w:p>
        </w:tc>
        <w:tc>
          <w:tcPr>
            <w:tcW w:w="15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本项目矿床裸露，不需剥离土层，生产建设过程中不排渣</w:t>
            </w:r>
          </w:p>
        </w:tc>
        <w:tc>
          <w:tcPr>
            <w:tcW w:w="1281"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无制约性因素</w:t>
            </w:r>
          </w:p>
        </w:tc>
      </w:tr>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二</w:t>
            </w:r>
          </w:p>
        </w:tc>
        <w:tc>
          <w:tcPr>
            <w:tcW w:w="8975" w:type="dxa"/>
            <w:gridSpan w:val="3"/>
            <w:tcBorders>
              <w:top w:val="single" w:color="auto" w:sz="4" w:space="0"/>
              <w:left w:val="nil"/>
              <w:bottom w:val="single" w:color="auto" w:sz="4" w:space="0"/>
              <w:right w:val="single" w:color="auto" w:sz="4" w:space="0"/>
            </w:tcBorders>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 xml:space="preserve">水保[2007]184号文中限制性条款 </w:t>
            </w:r>
          </w:p>
        </w:tc>
      </w:tr>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1</w:t>
            </w:r>
          </w:p>
        </w:tc>
        <w:tc>
          <w:tcPr>
            <w:tcW w:w="6145" w:type="dxa"/>
            <w:tcBorders>
              <w:top w:val="single" w:color="auto" w:sz="4" w:space="0"/>
              <w:left w:val="nil"/>
              <w:bottom w:val="single" w:color="auto" w:sz="4" w:space="0"/>
              <w:right w:val="single" w:color="auto" w:sz="4" w:space="0"/>
            </w:tcBorders>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水土保持方案中没有主体工程的比选方案，比选方案水土保持评价缺乏水土保持有关量化指标的。</w:t>
            </w:r>
          </w:p>
        </w:tc>
        <w:tc>
          <w:tcPr>
            <w:tcW w:w="15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不存在</w:t>
            </w:r>
          </w:p>
        </w:tc>
        <w:tc>
          <w:tcPr>
            <w:tcW w:w="1281"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无制约性因素</w:t>
            </w:r>
          </w:p>
        </w:tc>
      </w:tr>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2</w:t>
            </w:r>
          </w:p>
        </w:tc>
        <w:tc>
          <w:tcPr>
            <w:tcW w:w="6145" w:type="dxa"/>
            <w:tcBorders>
              <w:top w:val="single" w:color="auto" w:sz="4" w:space="0"/>
              <w:left w:val="nil"/>
              <w:bottom w:val="single" w:color="auto" w:sz="4" w:space="0"/>
              <w:right w:val="single" w:color="auto" w:sz="4" w:space="0"/>
            </w:tcBorders>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工程的土石方平衡、废弃土石渣利用达不到规范要求的。</w:t>
            </w:r>
          </w:p>
        </w:tc>
        <w:tc>
          <w:tcPr>
            <w:tcW w:w="15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不存在</w:t>
            </w:r>
          </w:p>
        </w:tc>
        <w:tc>
          <w:tcPr>
            <w:tcW w:w="1281"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无制约性因素</w:t>
            </w:r>
          </w:p>
        </w:tc>
      </w:tr>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3</w:t>
            </w:r>
          </w:p>
        </w:tc>
        <w:tc>
          <w:tcPr>
            <w:tcW w:w="6145" w:type="dxa"/>
            <w:tcBorders>
              <w:top w:val="single" w:color="auto" w:sz="4" w:space="0"/>
              <w:left w:val="nil"/>
              <w:bottom w:val="single" w:color="auto" w:sz="4" w:space="0"/>
              <w:right w:val="single" w:color="auto" w:sz="4" w:space="0"/>
            </w:tcBorders>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根据国家产业结构调整的有关规定精神，国家发展和改革主管部门同意后方可开展前期工作，但未能提供相应文件依据的开发建设项目。</w:t>
            </w:r>
          </w:p>
        </w:tc>
        <w:tc>
          <w:tcPr>
            <w:tcW w:w="15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不存在</w:t>
            </w:r>
          </w:p>
        </w:tc>
        <w:tc>
          <w:tcPr>
            <w:tcW w:w="1281"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无制约性因素</w:t>
            </w:r>
          </w:p>
        </w:tc>
      </w:tr>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4</w:t>
            </w:r>
          </w:p>
        </w:tc>
        <w:tc>
          <w:tcPr>
            <w:tcW w:w="6145" w:type="dxa"/>
            <w:tcBorders>
              <w:top w:val="single" w:color="auto" w:sz="4" w:space="0"/>
              <w:left w:val="nil"/>
              <w:bottom w:val="single" w:color="auto" w:sz="4" w:space="0"/>
              <w:right w:val="single" w:color="auto" w:sz="4" w:space="0"/>
            </w:tcBorders>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分期建设的开发建设项目，其前期工程存在未编报水土保持方案、水土保持方案未落实和水土保持设施未按期验收的。</w:t>
            </w:r>
          </w:p>
        </w:tc>
        <w:tc>
          <w:tcPr>
            <w:tcW w:w="15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不存在</w:t>
            </w:r>
          </w:p>
        </w:tc>
        <w:tc>
          <w:tcPr>
            <w:tcW w:w="1281"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无制约性因素</w:t>
            </w:r>
          </w:p>
        </w:tc>
      </w:tr>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5</w:t>
            </w:r>
          </w:p>
        </w:tc>
        <w:tc>
          <w:tcPr>
            <w:tcW w:w="6145" w:type="dxa"/>
            <w:tcBorders>
              <w:top w:val="single" w:color="auto" w:sz="4" w:space="0"/>
              <w:left w:val="nil"/>
              <w:bottom w:val="single" w:color="auto" w:sz="4" w:space="0"/>
              <w:right w:val="single" w:color="auto" w:sz="4" w:space="0"/>
            </w:tcBorders>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同一投资主体所属的开发建设项目，在建及生产运行的工程中存在未编报水土保持方案、水土保持方案未落实和水土保持设施未按期验收的。</w:t>
            </w:r>
          </w:p>
        </w:tc>
        <w:tc>
          <w:tcPr>
            <w:tcW w:w="15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不存在</w:t>
            </w:r>
          </w:p>
        </w:tc>
        <w:tc>
          <w:tcPr>
            <w:tcW w:w="1281"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无制约性因素</w:t>
            </w:r>
          </w:p>
        </w:tc>
      </w:tr>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6</w:t>
            </w:r>
          </w:p>
        </w:tc>
        <w:tc>
          <w:tcPr>
            <w:tcW w:w="6145" w:type="dxa"/>
            <w:tcBorders>
              <w:top w:val="single" w:color="auto" w:sz="4" w:space="0"/>
              <w:left w:val="nil"/>
              <w:bottom w:val="single" w:color="auto" w:sz="4" w:space="0"/>
              <w:right w:val="single" w:color="auto" w:sz="4" w:space="0"/>
            </w:tcBorders>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处于重要江河、湖泊以及跨省（自治区、直辖市）的其他江河、湖泊的水功能一级区的保护区和保留区内可能严重影响水质的开发建设项目，以及对水功能二级区的饮用水源区水质有影响的开发建设项目。</w:t>
            </w:r>
          </w:p>
        </w:tc>
        <w:tc>
          <w:tcPr>
            <w:tcW w:w="15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不存在</w:t>
            </w:r>
          </w:p>
        </w:tc>
        <w:tc>
          <w:tcPr>
            <w:tcW w:w="1281"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无制约性因素</w:t>
            </w:r>
          </w:p>
        </w:tc>
      </w:tr>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7</w:t>
            </w:r>
          </w:p>
        </w:tc>
        <w:tc>
          <w:tcPr>
            <w:tcW w:w="6145" w:type="dxa"/>
            <w:tcBorders>
              <w:top w:val="single" w:color="auto" w:sz="4" w:space="0"/>
              <w:left w:val="nil"/>
              <w:bottom w:val="single" w:color="auto" w:sz="4" w:space="0"/>
              <w:right w:val="single" w:color="auto" w:sz="4" w:space="0"/>
            </w:tcBorders>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在华北、西北等水资源严重短缺地区，未通过建设项目水资源论证的开发建设项目。</w:t>
            </w:r>
          </w:p>
        </w:tc>
        <w:tc>
          <w:tcPr>
            <w:tcW w:w="15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不存在</w:t>
            </w:r>
          </w:p>
        </w:tc>
        <w:tc>
          <w:tcPr>
            <w:tcW w:w="1281"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无制约性因素</w:t>
            </w:r>
          </w:p>
        </w:tc>
      </w:tr>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三</w:t>
            </w:r>
          </w:p>
        </w:tc>
        <w:tc>
          <w:tcPr>
            <w:tcW w:w="8975" w:type="dxa"/>
            <w:gridSpan w:val="3"/>
            <w:tcBorders>
              <w:top w:val="single" w:color="auto" w:sz="4" w:space="0"/>
              <w:left w:val="nil"/>
              <w:bottom w:val="single" w:color="auto" w:sz="4" w:space="0"/>
              <w:right w:val="single" w:color="auto" w:sz="4" w:space="0"/>
            </w:tcBorders>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《生产建设项目水土保持技术标准》（GB50433-2018）中规定</w:t>
            </w:r>
          </w:p>
        </w:tc>
      </w:tr>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1</w:t>
            </w:r>
          </w:p>
        </w:tc>
        <w:tc>
          <w:tcPr>
            <w:tcW w:w="6145" w:type="dxa"/>
            <w:tcBorders>
              <w:top w:val="single" w:color="auto" w:sz="4" w:space="0"/>
              <w:left w:val="nil"/>
              <w:bottom w:val="single" w:color="auto" w:sz="4" w:space="0"/>
              <w:right w:val="single" w:color="auto" w:sz="4" w:space="0"/>
            </w:tcBorders>
            <w:noWrap w:val="0"/>
            <w:vAlign w:val="center"/>
          </w:tcPr>
          <w:p>
            <w:pPr>
              <w:pStyle w:val="210"/>
              <w:rPr>
                <w:rFonts w:ascii="Times New Roman" w:hAnsi="Times New Roman" w:eastAsia="仿宋_GB2312"/>
                <w:kern w:val="0"/>
                <w:sz w:val="20"/>
                <w:szCs w:val="20"/>
              </w:rPr>
            </w:pPr>
            <w:r>
              <w:rPr>
                <w:rFonts w:ascii="Times New Roman" w:hAnsi="Times New Roman" w:eastAsia="仿宋_GB2312"/>
                <w:szCs w:val="21"/>
              </w:rPr>
              <w:t>选址（线）应避让水土流失重点预防区和重点治理区；无法避让的，应优化方案。</w:t>
            </w:r>
          </w:p>
        </w:tc>
        <w:tc>
          <w:tcPr>
            <w:tcW w:w="15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cs="Times New Roman"/>
                <w:kern w:val="2"/>
                <w:sz w:val="20"/>
                <w:szCs w:val="20"/>
                <w:lang w:val="en-US" w:eastAsia="zh-CN" w:bidi="ar-SA"/>
              </w:rPr>
            </w:pPr>
            <w:r>
              <w:rPr>
                <w:rFonts w:hint="eastAsia" w:ascii="Times New Roman" w:hAnsi="Times New Roman" w:eastAsia="仿宋_GB2312"/>
                <w:sz w:val="20"/>
                <w:szCs w:val="20"/>
                <w:lang w:eastAsia="zh-CN"/>
              </w:rPr>
              <w:t>项目所在地属山西省水土流失重点预防保护区，选址无法避让，将通过提高措施标准，优化施工工艺等途径，减少地表植被的扰动和植被损坏范围</w:t>
            </w:r>
          </w:p>
        </w:tc>
        <w:tc>
          <w:tcPr>
            <w:tcW w:w="1281"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无制约性因素</w:t>
            </w:r>
          </w:p>
        </w:tc>
      </w:tr>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2</w:t>
            </w:r>
          </w:p>
        </w:tc>
        <w:tc>
          <w:tcPr>
            <w:tcW w:w="6145" w:type="dxa"/>
            <w:tcBorders>
              <w:top w:val="single" w:color="auto" w:sz="4" w:space="0"/>
              <w:left w:val="nil"/>
              <w:bottom w:val="single" w:color="auto" w:sz="4" w:space="0"/>
              <w:right w:val="single" w:color="auto" w:sz="4" w:space="0"/>
            </w:tcBorders>
            <w:noWrap w:val="0"/>
            <w:vAlign w:val="center"/>
          </w:tcPr>
          <w:p>
            <w:pPr>
              <w:pStyle w:val="210"/>
              <w:rPr>
                <w:rFonts w:ascii="Times New Roman" w:hAnsi="Times New Roman" w:eastAsia="仿宋_GB2312"/>
                <w:kern w:val="0"/>
                <w:sz w:val="20"/>
                <w:szCs w:val="20"/>
              </w:rPr>
            </w:pPr>
            <w:r>
              <w:rPr>
                <w:rFonts w:ascii="Times New Roman" w:hAnsi="Times New Roman" w:eastAsia="仿宋_GB2312"/>
                <w:szCs w:val="21"/>
              </w:rPr>
              <w:t>选址（线）应避让全国水土保持监测网络中的水土保持监测站点、重点试验区以及国家确定的水土保持长期定位观测站。</w:t>
            </w:r>
          </w:p>
        </w:tc>
        <w:tc>
          <w:tcPr>
            <w:tcW w:w="15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不存在</w:t>
            </w:r>
          </w:p>
        </w:tc>
        <w:tc>
          <w:tcPr>
            <w:tcW w:w="1281"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无制约性因素</w:t>
            </w:r>
          </w:p>
        </w:tc>
      </w:tr>
      <w:tr>
        <w:tblPrEx>
          <w:tblCellMar>
            <w:top w:w="0" w:type="dxa"/>
            <w:left w:w="108" w:type="dxa"/>
            <w:bottom w:w="0" w:type="dxa"/>
            <w:right w:w="108" w:type="dxa"/>
          </w:tblCellMar>
        </w:tblPrEx>
        <w:trPr>
          <w:trHeight w:val="284" w:hRule="atLeast"/>
          <w:jc w:val="center"/>
        </w:trPr>
        <w:tc>
          <w:tcPr>
            <w:tcW w:w="62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3</w:t>
            </w:r>
          </w:p>
        </w:tc>
        <w:tc>
          <w:tcPr>
            <w:tcW w:w="6145" w:type="dxa"/>
            <w:tcBorders>
              <w:top w:val="single" w:color="auto" w:sz="4" w:space="0"/>
              <w:left w:val="nil"/>
              <w:bottom w:val="single" w:color="auto" w:sz="4" w:space="0"/>
              <w:right w:val="single" w:color="auto" w:sz="4" w:space="0"/>
            </w:tcBorders>
            <w:noWrap w:val="0"/>
            <w:vAlign w:val="center"/>
          </w:tcPr>
          <w:p>
            <w:pPr>
              <w:pStyle w:val="210"/>
              <w:rPr>
                <w:rFonts w:ascii="Times New Roman" w:hAnsi="Times New Roman" w:eastAsia="仿宋_GB2312"/>
                <w:kern w:val="0"/>
                <w:sz w:val="20"/>
                <w:szCs w:val="20"/>
              </w:rPr>
            </w:pPr>
            <w:r>
              <w:rPr>
                <w:rFonts w:ascii="Times New Roman" w:hAnsi="Times New Roman" w:eastAsia="仿宋_GB2312"/>
                <w:szCs w:val="21"/>
              </w:rPr>
              <w:t>选址（线）应避让</w:t>
            </w:r>
            <w:r>
              <w:rPr>
                <w:rFonts w:hint="eastAsia" w:ascii="Times New Roman" w:hAnsi="Times New Roman" w:eastAsia="仿宋_GB2312"/>
                <w:szCs w:val="21"/>
              </w:rPr>
              <w:t>河流两岸</w:t>
            </w:r>
            <w:r>
              <w:rPr>
                <w:rFonts w:ascii="Times New Roman" w:hAnsi="Times New Roman" w:eastAsia="仿宋_GB2312"/>
                <w:szCs w:val="21"/>
              </w:rPr>
              <w:t>、</w:t>
            </w:r>
            <w:r>
              <w:rPr>
                <w:rFonts w:hint="eastAsia" w:ascii="Times New Roman" w:hAnsi="Times New Roman" w:eastAsia="仿宋_GB2312"/>
                <w:szCs w:val="21"/>
              </w:rPr>
              <w:t>湖泊</w:t>
            </w:r>
            <w:r>
              <w:rPr>
                <w:rFonts w:ascii="Times New Roman" w:hAnsi="Times New Roman" w:eastAsia="仿宋_GB2312"/>
                <w:szCs w:val="21"/>
              </w:rPr>
              <w:t>和水库周边的植物保护</w:t>
            </w:r>
            <w:r>
              <w:rPr>
                <w:rFonts w:hint="eastAsia" w:ascii="Times New Roman" w:hAnsi="Times New Roman" w:eastAsia="仿宋_GB2312"/>
                <w:szCs w:val="21"/>
              </w:rPr>
              <w:t>带</w:t>
            </w:r>
            <w:r>
              <w:rPr>
                <w:rFonts w:ascii="Times New Roman" w:hAnsi="Times New Roman" w:eastAsia="仿宋_GB2312"/>
                <w:szCs w:val="21"/>
              </w:rPr>
              <w:t>。</w:t>
            </w:r>
          </w:p>
        </w:tc>
        <w:tc>
          <w:tcPr>
            <w:tcW w:w="1549"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不存在</w:t>
            </w:r>
          </w:p>
        </w:tc>
        <w:tc>
          <w:tcPr>
            <w:tcW w:w="1281"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无制约性因素</w:t>
            </w:r>
          </w:p>
        </w:tc>
      </w:tr>
    </w:tbl>
    <w:p>
      <w:pPr>
        <w:pStyle w:val="211"/>
        <w:spacing w:line="360" w:lineRule="auto"/>
        <w:ind w:firstLine="480"/>
        <w:rPr>
          <w:rFonts w:ascii="Times New Roman" w:hAnsi="Times New Roman" w:eastAsia="仿宋_GB2312" w:cs="Times New Roman"/>
        </w:rPr>
      </w:pPr>
      <w:r>
        <w:rPr>
          <w:rFonts w:ascii="Times New Roman" w:hAnsi="Times New Roman" w:eastAsia="仿宋_GB2312" w:cs="Times New Roman"/>
        </w:rPr>
        <w:t>综上所述，从水土保持角度看，该项目符合《《生产建设项目水土保持技术标准》（GB/T50433-2018）中对主体工程选址（线）、建设方案及布局的约束性规定、符合《中华人民共和国水土保持法》（2011年3月）中对主体工程选址限制性规定、符合《水利部关于严格开发建设项目水土保持方案审查审批工作的通知》（水保[2007]184号文）的有关规定，建设选址不存在制约性因素，基本满足水土保持要求。</w:t>
      </w:r>
    </w:p>
    <w:p>
      <w:pPr>
        <w:pStyle w:val="5"/>
        <w:spacing w:before="0" w:after="120" w:line="360" w:lineRule="auto"/>
        <w:rPr>
          <w:rFonts w:ascii="Times New Roman" w:hAnsi="Times New Roman" w:eastAsia="仿宋_GB2312"/>
          <w:sz w:val="30"/>
          <w:szCs w:val="30"/>
        </w:rPr>
      </w:pPr>
      <w:bookmarkStart w:id="85" w:name="_Toc530486081"/>
      <w:bookmarkStart w:id="86" w:name="_Toc505703194"/>
      <w:r>
        <w:rPr>
          <w:rFonts w:ascii="Times New Roman" w:hAnsi="Times New Roman" w:eastAsia="仿宋_GB2312"/>
          <w:sz w:val="30"/>
          <w:szCs w:val="30"/>
        </w:rPr>
        <w:t>3.1.2主体工程方案比选的水土保持分析评价</w:t>
      </w:r>
      <w:bookmarkEnd w:id="85"/>
      <w:bookmarkEnd w:id="86"/>
    </w:p>
    <w:p>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根据主体设计，没有主体工程比选方案，因此本方案不予分析评价。</w:t>
      </w:r>
    </w:p>
    <w:p>
      <w:pPr>
        <w:pStyle w:val="4"/>
        <w:spacing w:before="120" w:after="120" w:line="360" w:lineRule="auto"/>
        <w:ind w:firstLine="0"/>
        <w:rPr>
          <w:rFonts w:ascii="Times New Roman" w:hAnsi="Times New Roman" w:eastAsia="仿宋_GB2312" w:cs="Times New Roman"/>
          <w:b/>
          <w:bCs/>
          <w:sz w:val="32"/>
          <w:szCs w:val="32"/>
        </w:rPr>
      </w:pPr>
      <w:bookmarkStart w:id="87" w:name="_Toc19684"/>
      <w:bookmarkStart w:id="88" w:name="_Toc15658"/>
      <w:r>
        <w:rPr>
          <w:rFonts w:ascii="Times New Roman" w:hAnsi="Times New Roman" w:eastAsia="仿宋_GB2312" w:cs="Times New Roman"/>
          <w:b/>
          <w:bCs/>
          <w:sz w:val="32"/>
          <w:szCs w:val="32"/>
        </w:rPr>
        <w:t>3.2建设方案与布局水土保持评价</w:t>
      </w:r>
      <w:bookmarkEnd w:id="87"/>
      <w:bookmarkEnd w:id="88"/>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3.2.1建设方案评价</w:t>
      </w:r>
    </w:p>
    <w:p>
      <w:pPr>
        <w:spacing w:line="360" w:lineRule="auto"/>
        <w:ind w:firstLine="600" w:firstLineChars="250"/>
        <w:jc w:val="left"/>
        <w:rPr>
          <w:rFonts w:hint="eastAsia" w:ascii="Times New Roman" w:hAnsi="Times New Roman" w:eastAsia="仿宋_GB2312"/>
          <w:kern w:val="0"/>
          <w:sz w:val="24"/>
          <w:szCs w:val="24"/>
        </w:rPr>
      </w:pPr>
      <w:r>
        <w:rPr>
          <w:rFonts w:hint="eastAsia" w:ascii="Times New Roman" w:hAnsi="Times New Roman" w:eastAsia="仿宋_GB2312"/>
          <w:kern w:val="0"/>
          <w:sz w:val="24"/>
          <w:szCs w:val="24"/>
        </w:rPr>
        <w:t>本项目区所在地属山西省水土流失重点预防保护区，选址无法避让，将通过提高措施标准，优化施工工艺等途径，减少地表植被的扰动和植被损坏范围，有效控制可能造成的水土流失。本项目按</w:t>
      </w:r>
      <w:r>
        <w:rPr>
          <w:rFonts w:hint="eastAsia" w:eastAsia="仿宋_GB2312"/>
          <w:kern w:val="0"/>
          <w:sz w:val="24"/>
          <w:szCs w:val="24"/>
          <w:lang w:val="en-US" w:eastAsia="zh-CN"/>
        </w:rPr>
        <w:t>12</w:t>
      </w:r>
      <w:r>
        <w:rPr>
          <w:rFonts w:hint="eastAsia" w:ascii="Times New Roman" w:hAnsi="Times New Roman" w:eastAsia="仿宋_GB2312"/>
          <w:kern w:val="0"/>
          <w:sz w:val="24"/>
          <w:szCs w:val="24"/>
        </w:rPr>
        <w:t>万t/a统筹规划，总体考虑了场址地形条件等各方面因素，进行统筹安排，统一布局，项目总体布置在满足生产要求的前提下，尽量减小占地面积，减少工程土石方开挖量，各施工场地布置紧凑合理，在满足施工需要的基础上，合理布局，减少了占地面积，减小了土地资源的扰动破坏</w:t>
      </w:r>
      <w:r>
        <w:rPr>
          <w:rFonts w:hint="eastAsia" w:ascii="Times New Roman" w:hAnsi="Times New Roman" w:eastAsia="仿宋_GB2312"/>
          <w:kern w:val="0"/>
          <w:sz w:val="24"/>
          <w:szCs w:val="24"/>
          <w:lang w:eastAsia="zh-CN"/>
        </w:rPr>
        <w:t>，方案新增的采场排水、截水和绿化措施，</w:t>
      </w:r>
      <w:r>
        <w:rPr>
          <w:rFonts w:hint="eastAsia" w:eastAsia="仿宋_GB2312"/>
          <w:kern w:val="0"/>
          <w:sz w:val="24"/>
          <w:szCs w:val="24"/>
          <w:lang w:eastAsia="zh-CN"/>
        </w:rPr>
        <w:t>加工场地的排水，场地道路</w:t>
      </w:r>
      <w:r>
        <w:rPr>
          <w:rFonts w:hint="eastAsia" w:ascii="Times New Roman" w:hAnsi="Times New Roman" w:eastAsia="仿宋_GB2312"/>
          <w:kern w:val="0"/>
          <w:sz w:val="24"/>
          <w:szCs w:val="24"/>
          <w:lang w:eastAsia="zh-CN"/>
        </w:rPr>
        <w:t>的排水，绿化均选用有园林效果的油松树种，排水设施选用浆砌石，提高了防护标准和绿化标准，能最大限度的减少水土流失，达到治理水土流失的作用</w:t>
      </w:r>
      <w:r>
        <w:rPr>
          <w:rFonts w:hint="eastAsia" w:ascii="Times New Roman" w:hAnsi="Times New Roman" w:eastAsia="仿宋_GB2312"/>
          <w:kern w:val="0"/>
          <w:sz w:val="24"/>
          <w:szCs w:val="24"/>
        </w:rPr>
        <w:t>。</w:t>
      </w:r>
    </w:p>
    <w:p>
      <w:pPr>
        <w:spacing w:line="360" w:lineRule="auto"/>
        <w:ind w:firstLine="600" w:firstLineChars="250"/>
        <w:jc w:val="left"/>
        <w:rPr>
          <w:rFonts w:ascii="Times New Roman" w:hAnsi="Times New Roman" w:eastAsia="仿宋_GB2312"/>
          <w:kern w:val="0"/>
          <w:sz w:val="24"/>
          <w:szCs w:val="24"/>
        </w:rPr>
      </w:pPr>
      <w:r>
        <w:rPr>
          <w:rFonts w:hint="eastAsia" w:ascii="Times New Roman" w:hAnsi="Times New Roman" w:eastAsia="仿宋_GB2312"/>
          <w:kern w:val="0"/>
          <w:sz w:val="24"/>
          <w:szCs w:val="24"/>
        </w:rPr>
        <w:t>综上所述，从水土保持角度分析本工程建设方案与布局较为合理。从以上分析可知，本项目工程建设方案与布局满足水保要求。</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3.2.2工程占地评价</w:t>
      </w:r>
    </w:p>
    <w:p>
      <w:pPr>
        <w:spacing w:line="360" w:lineRule="auto"/>
        <w:ind w:firstLine="556" w:firstLineChars="232"/>
        <w:jc w:val="left"/>
        <w:rPr>
          <w:rFonts w:ascii="Times New Roman" w:hAnsi="Times New Roman" w:eastAsia="仿宋_GB2312"/>
          <w:kern w:val="0"/>
          <w:sz w:val="24"/>
          <w:szCs w:val="24"/>
        </w:rPr>
      </w:pPr>
      <w:r>
        <w:rPr>
          <w:rFonts w:hint="eastAsia" w:ascii="Times New Roman" w:hAnsi="Times New Roman" w:eastAsia="仿宋_GB2312"/>
          <w:kern w:val="0"/>
          <w:sz w:val="24"/>
          <w:szCs w:val="24"/>
        </w:rPr>
        <w:t>鉴于本工程特点以及根据《开发建设项目水土保持技术规范》中的规定，占地性质方面，本项目全部为永久占地，占地类型方面，本项目占地类型基本为工矿用地</w:t>
      </w:r>
      <w:r>
        <w:rPr>
          <w:rFonts w:hint="eastAsia" w:ascii="Times New Roman" w:hAnsi="Times New Roman" w:eastAsia="仿宋_GB2312"/>
          <w:kern w:val="0"/>
          <w:sz w:val="24"/>
          <w:szCs w:val="24"/>
          <w:lang w:eastAsia="zh-CN"/>
        </w:rPr>
        <w:t>、公路用地</w:t>
      </w:r>
      <w:r>
        <w:rPr>
          <w:rFonts w:hint="eastAsia" w:ascii="Times New Roman" w:hAnsi="Times New Roman" w:eastAsia="仿宋_GB2312"/>
          <w:kern w:val="0"/>
          <w:sz w:val="24"/>
          <w:szCs w:val="24"/>
        </w:rPr>
        <w:t>，未占用生产力较高的耕地和水土保持功能较强的林地，符合水土保持要求。占地指标方面，主体工程本着少占地的原则，充分合理地利用征占地，尽量将工程占地的面积减少到最小。本项目在占地性质、类型和占地指标方面均合理、可行、符合水土保持要求。</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3.2.3土石方平衡评价</w:t>
      </w:r>
    </w:p>
    <w:p>
      <w:pPr>
        <w:spacing w:line="360" w:lineRule="auto"/>
        <w:ind w:firstLine="480" w:firstLineChars="200"/>
        <w:rPr>
          <w:rFonts w:ascii="Times New Roman" w:hAnsi="Times New Roman" w:eastAsia="仿宋_GB2312"/>
          <w:sz w:val="24"/>
          <w:szCs w:val="24"/>
        </w:rPr>
      </w:pPr>
      <w:r>
        <w:rPr>
          <w:rFonts w:hint="eastAsia" w:ascii="Times New Roman" w:hAnsi="Times New Roman" w:eastAsia="仿宋_GB2312"/>
          <w:sz w:val="24"/>
          <w:szCs w:val="24"/>
          <w:lang w:eastAsia="zh-CN"/>
        </w:rPr>
        <w:t>本项目建设期挖填总量为</w:t>
      </w:r>
      <w:r>
        <w:rPr>
          <w:rFonts w:hint="eastAsia" w:eastAsia="仿宋_GB2312"/>
          <w:sz w:val="24"/>
          <w:szCs w:val="24"/>
          <w:lang w:val="en-US" w:eastAsia="zh-CN"/>
        </w:rPr>
        <w:t>1</w:t>
      </w:r>
      <w:r>
        <w:rPr>
          <w:rFonts w:hint="eastAsia" w:ascii="Times New Roman" w:hAnsi="Times New Roman" w:eastAsia="仿宋_GB2312"/>
          <w:sz w:val="24"/>
          <w:szCs w:val="24"/>
          <w:lang w:eastAsia="zh-CN"/>
        </w:rPr>
        <w:t>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。其中开挖0</w:t>
      </w:r>
      <w:r>
        <w:rPr>
          <w:rFonts w:hint="eastAsia" w:eastAsia="仿宋_GB2312"/>
          <w:sz w:val="24"/>
          <w:szCs w:val="24"/>
          <w:lang w:val="en-US" w:eastAsia="zh-CN"/>
        </w:rPr>
        <w:t>.5</w:t>
      </w:r>
      <w:r>
        <w:rPr>
          <w:rFonts w:hint="eastAsia" w:ascii="Times New Roman" w:hAnsi="Times New Roman" w:eastAsia="仿宋_GB2312"/>
          <w:sz w:val="24"/>
          <w:szCs w:val="24"/>
          <w:lang w:eastAsia="zh-CN"/>
        </w:rPr>
        <w:t>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，回填0.</w:t>
      </w:r>
      <w:r>
        <w:rPr>
          <w:rFonts w:hint="eastAsia" w:eastAsia="仿宋_GB2312"/>
          <w:sz w:val="24"/>
          <w:szCs w:val="24"/>
          <w:lang w:val="en-US" w:eastAsia="zh-CN"/>
        </w:rPr>
        <w:t>5</w:t>
      </w:r>
      <w:r>
        <w:rPr>
          <w:rFonts w:hint="eastAsia" w:ascii="Times New Roman" w:hAnsi="Times New Roman" w:eastAsia="仿宋_GB2312"/>
          <w:sz w:val="24"/>
          <w:szCs w:val="24"/>
          <w:lang w:eastAsia="zh-CN"/>
        </w:rPr>
        <w:t>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，无弃方</w:t>
      </w:r>
      <w:r>
        <w:rPr>
          <w:rFonts w:ascii="Times New Roman" w:hAnsi="Times New Roman" w:eastAsia="仿宋_GB2312"/>
          <w:sz w:val="24"/>
          <w:szCs w:val="24"/>
        </w:rPr>
        <w:t>。</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3.2.4取土（石 、砂）场设置评价</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szCs w:val="24"/>
        </w:rPr>
        <w:t>本项目不涉及取土场。</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3.2.5弃土（石、渣、灰、矸石、尾矿）场设置评价</w:t>
      </w:r>
    </w:p>
    <w:p>
      <w:pPr>
        <w:spacing w:line="360" w:lineRule="auto"/>
        <w:ind w:firstLine="480" w:firstLineChars="200"/>
        <w:rPr>
          <w:rFonts w:ascii="Times New Roman" w:hAnsi="Times New Roman" w:eastAsia="仿宋_GB2312"/>
          <w:sz w:val="24"/>
          <w:szCs w:val="24"/>
        </w:rPr>
      </w:pPr>
      <w:r>
        <w:rPr>
          <w:rFonts w:hint="eastAsia" w:ascii="Times New Roman" w:hAnsi="Times New Roman" w:eastAsia="仿宋_GB2312"/>
          <w:sz w:val="24"/>
          <w:szCs w:val="24"/>
          <w:lang w:eastAsia="zh-CN"/>
        </w:rPr>
        <w:t>矿山生产过程中产生的废石（废石总量0.53万m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岩性主要有寒武系中统馒头组白云质灰岩、泥灰岩、薄层灰岩和白云岩等）已与曲沃县顺风建材有限公司签订废石购销合同，全部运往曲沃县顺风建材有限建材公司综合利用。曲沃县顺风建材有限公司设计年生产加工矿石10万t，建设有石料破碎筛分设备，用于石料加工，加工后生产建筑材料用于水泥制品、砖等企业作为加工原料，有能力满足项目生产过程的中废石处理问题，</w:t>
      </w:r>
      <w:r>
        <w:rPr>
          <w:rFonts w:hint="eastAsia" w:ascii="Times New Roman" w:hAnsi="Times New Roman" w:eastAsia="仿宋_GB2312"/>
          <w:sz w:val="24"/>
          <w:szCs w:val="24"/>
        </w:rPr>
        <w:t>最大限度的减少了水土流失，符合水土保持要求。</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3.2.6施工方法与工艺评价</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施工所需建筑材料在当地购买，其水土流失防治责任由开采商负责。</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建筑材料随用随运，利用仓库或专门堆放场集中储存和堆放。</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主体工程选用的均为比较成熟的施工工艺，通过合理安排工序，防止重复开挖和土方多次倒运。通过合理安排施工进度与时序，缩小了裸露面积和减少裸露时间，同时减少了施工过程中因降水可能产生的水土流失。</w:t>
      </w:r>
    </w:p>
    <w:p>
      <w:pPr>
        <w:rPr>
          <w:rFonts w:ascii="Times New Roman" w:hAnsi="Times New Roman" w:eastAsia="仿宋_GB2312"/>
          <w:b/>
          <w:bCs/>
          <w:sz w:val="24"/>
        </w:rPr>
      </w:pPr>
      <w:r>
        <w:rPr>
          <w:rFonts w:ascii="Times New Roman" w:hAnsi="Times New Roman" w:eastAsia="仿宋_GB2312"/>
          <w:b/>
          <w:bCs/>
          <w:sz w:val="24"/>
        </w:rPr>
        <w:br w:type="page"/>
      </w:r>
    </w:p>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表3</w:t>
      </w:r>
      <w:r>
        <w:rPr>
          <w:rFonts w:hint="eastAsia" w:ascii="Times New Roman" w:hAnsi="Times New Roman" w:eastAsia="仿宋_GB2312"/>
          <w:b/>
          <w:bCs/>
          <w:sz w:val="24"/>
          <w:lang w:val="en-US" w:eastAsia="zh-CN"/>
        </w:rPr>
        <w:t>-</w:t>
      </w:r>
      <w:r>
        <w:rPr>
          <w:rFonts w:ascii="Times New Roman" w:hAnsi="Times New Roman" w:eastAsia="仿宋_GB2312"/>
          <w:b/>
          <w:bCs/>
          <w:sz w:val="24"/>
        </w:rPr>
        <w:t>2 主体工程施工组织设计分析与评价表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8"/>
        <w:gridCol w:w="2674"/>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58" w:type="dxa"/>
            <w:noWrap w:val="0"/>
            <w:vAlign w:val="center"/>
          </w:tcPr>
          <w:p>
            <w:pPr>
              <w:spacing w:line="240" w:lineRule="exact"/>
              <w:jc w:val="center"/>
              <w:rPr>
                <w:rFonts w:ascii="Times New Roman" w:hAnsi="Times New Roman" w:eastAsia="仿宋_GB2312"/>
                <w:b/>
                <w:bCs/>
                <w:sz w:val="20"/>
                <w:szCs w:val="20"/>
              </w:rPr>
            </w:pPr>
            <w:r>
              <w:rPr>
                <w:rFonts w:ascii="Times New Roman" w:hAnsi="Times New Roman" w:eastAsia="仿宋_GB2312"/>
                <w:b/>
                <w:bCs/>
                <w:sz w:val="20"/>
                <w:szCs w:val="20"/>
              </w:rPr>
              <w:t>约束性规定</w:t>
            </w:r>
          </w:p>
        </w:tc>
        <w:tc>
          <w:tcPr>
            <w:tcW w:w="2674" w:type="dxa"/>
            <w:noWrap w:val="0"/>
            <w:vAlign w:val="center"/>
          </w:tcPr>
          <w:p>
            <w:pPr>
              <w:spacing w:line="240" w:lineRule="exact"/>
              <w:jc w:val="center"/>
              <w:rPr>
                <w:rFonts w:ascii="Times New Roman" w:hAnsi="Times New Roman" w:eastAsia="仿宋_GB2312"/>
                <w:b/>
                <w:bCs/>
                <w:sz w:val="20"/>
                <w:szCs w:val="20"/>
              </w:rPr>
            </w:pPr>
            <w:r>
              <w:rPr>
                <w:rFonts w:ascii="Times New Roman" w:hAnsi="Times New Roman" w:eastAsia="仿宋_GB2312"/>
                <w:b/>
                <w:bCs/>
                <w:sz w:val="20"/>
                <w:szCs w:val="20"/>
              </w:rPr>
              <w:t>本工程执行情况</w:t>
            </w:r>
          </w:p>
        </w:tc>
        <w:tc>
          <w:tcPr>
            <w:tcW w:w="1290" w:type="dxa"/>
            <w:noWrap w:val="0"/>
            <w:vAlign w:val="center"/>
          </w:tcPr>
          <w:p>
            <w:pPr>
              <w:spacing w:line="240" w:lineRule="exact"/>
              <w:jc w:val="center"/>
              <w:rPr>
                <w:rFonts w:ascii="Times New Roman" w:hAnsi="Times New Roman" w:eastAsia="仿宋_GB2312"/>
                <w:b/>
                <w:bCs/>
                <w:sz w:val="20"/>
                <w:szCs w:val="20"/>
              </w:rPr>
            </w:pPr>
            <w:r>
              <w:rPr>
                <w:rFonts w:ascii="Times New Roman" w:hAnsi="Times New Roman" w:eastAsia="仿宋_GB2312"/>
                <w:b/>
                <w:bCs/>
                <w:sz w:val="20"/>
                <w:szCs w:val="20"/>
              </w:rPr>
              <w:t>制约性因素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58" w:type="dxa"/>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控制施工场地占地，避开植被良好区。</w:t>
            </w:r>
          </w:p>
        </w:tc>
        <w:tc>
          <w:tcPr>
            <w:tcW w:w="2674" w:type="dxa"/>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施工避开植被良好区</w:t>
            </w:r>
          </w:p>
        </w:tc>
        <w:tc>
          <w:tcPr>
            <w:tcW w:w="1290" w:type="dxa"/>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58" w:type="dxa"/>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应合理安排施工，减少开挖量和废弃量，防止重复开挖和土(石、渣)多次倒运。</w:t>
            </w:r>
          </w:p>
        </w:tc>
        <w:tc>
          <w:tcPr>
            <w:tcW w:w="2674" w:type="dxa"/>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不涉及</w:t>
            </w:r>
          </w:p>
        </w:tc>
        <w:tc>
          <w:tcPr>
            <w:tcW w:w="1290" w:type="dxa"/>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58" w:type="dxa"/>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应合理安排施工进度与时序，缩小裸露面积和减少裸露时间，减少施工过程中因降水和风等水土流失影响因素可能产生的水土流失。</w:t>
            </w:r>
          </w:p>
        </w:tc>
        <w:tc>
          <w:tcPr>
            <w:tcW w:w="2674" w:type="dxa"/>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合理安排了施工时间，缩小和减少了裸露面积，可能产生的水土流失较轻。</w:t>
            </w:r>
          </w:p>
        </w:tc>
        <w:tc>
          <w:tcPr>
            <w:tcW w:w="1290" w:type="dxa"/>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58" w:type="dxa"/>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在河岸陡坡开挖土石方，以及开挖边坡下方有河渠、公路、铁路和居民点时，开挖土石必须设计渣石渡槽、溜渣洞等专门设施，将开挖的土石渣导出后及时运至弃土(石、渣)场或专用场地，防止弃渣造成危害。</w:t>
            </w:r>
          </w:p>
        </w:tc>
        <w:tc>
          <w:tcPr>
            <w:tcW w:w="2674" w:type="dxa"/>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不涉及</w:t>
            </w:r>
          </w:p>
        </w:tc>
        <w:tc>
          <w:tcPr>
            <w:tcW w:w="1290" w:type="dxa"/>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58" w:type="dxa"/>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施工开挖、填筑、堆置等裸露面，应采取临时拦挡、排水、沉沙、覆盖等措施。</w:t>
            </w:r>
          </w:p>
        </w:tc>
        <w:tc>
          <w:tcPr>
            <w:tcW w:w="2674" w:type="dxa"/>
            <w:noWrap w:val="0"/>
            <w:vAlign w:val="center"/>
          </w:tcPr>
          <w:p>
            <w:pPr>
              <w:spacing w:line="240" w:lineRule="exact"/>
              <w:jc w:val="center"/>
              <w:rPr>
                <w:rFonts w:ascii="Times New Roman" w:hAnsi="Times New Roman" w:eastAsia="仿宋_GB2312"/>
                <w:sz w:val="20"/>
                <w:szCs w:val="20"/>
              </w:rPr>
            </w:pPr>
            <w:r>
              <w:rPr>
                <w:rFonts w:hint="eastAsia" w:ascii="Times New Roman" w:hAnsi="Times New Roman" w:eastAsia="仿宋_GB2312"/>
                <w:sz w:val="20"/>
                <w:szCs w:val="20"/>
                <w:lang w:eastAsia="zh-CN"/>
              </w:rPr>
              <w:t>不涉及</w:t>
            </w:r>
            <w:r>
              <w:rPr>
                <w:rFonts w:ascii="Times New Roman" w:hAnsi="Times New Roman" w:eastAsia="仿宋_GB2312"/>
                <w:sz w:val="20"/>
                <w:szCs w:val="20"/>
              </w:rPr>
              <w:t>。</w:t>
            </w:r>
          </w:p>
        </w:tc>
        <w:tc>
          <w:tcPr>
            <w:tcW w:w="1290" w:type="dxa"/>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58" w:type="dxa"/>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料场宜分台阶开采，控制开挖深度。爆破开挖应控制装药量和爆破范围，有效控制可能造成的水土流失。</w:t>
            </w:r>
          </w:p>
        </w:tc>
        <w:tc>
          <w:tcPr>
            <w:tcW w:w="2674" w:type="dxa"/>
            <w:noWrap w:val="0"/>
            <w:vAlign w:val="center"/>
          </w:tcPr>
          <w:p>
            <w:pPr>
              <w:spacing w:line="240" w:lineRule="exact"/>
              <w:jc w:val="center"/>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不涉及</w:t>
            </w:r>
          </w:p>
        </w:tc>
        <w:tc>
          <w:tcPr>
            <w:tcW w:w="1290" w:type="dxa"/>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58" w:type="dxa"/>
            <w:noWrap w:val="0"/>
            <w:vAlign w:val="center"/>
          </w:tcPr>
          <w:p>
            <w:pPr>
              <w:spacing w:line="240" w:lineRule="exact"/>
              <w:rPr>
                <w:rFonts w:ascii="Times New Roman" w:hAnsi="Times New Roman" w:eastAsia="仿宋_GB2312"/>
                <w:sz w:val="20"/>
                <w:szCs w:val="20"/>
              </w:rPr>
            </w:pPr>
            <w:r>
              <w:rPr>
                <w:rFonts w:ascii="Times New Roman" w:hAnsi="Times New Roman" w:eastAsia="仿宋_GB2312"/>
                <w:sz w:val="20"/>
                <w:szCs w:val="20"/>
              </w:rPr>
              <w:t>弃土(石、渣)应分类堆放，布设专门的临时倒运或回填料的场地。</w:t>
            </w:r>
          </w:p>
        </w:tc>
        <w:tc>
          <w:tcPr>
            <w:tcW w:w="2674" w:type="dxa"/>
            <w:noWrap w:val="0"/>
            <w:vAlign w:val="center"/>
          </w:tcPr>
          <w:p>
            <w:pPr>
              <w:spacing w:line="240" w:lineRule="exact"/>
              <w:jc w:val="center"/>
              <w:rPr>
                <w:rFonts w:ascii="Times New Roman" w:hAnsi="Times New Roman" w:eastAsia="仿宋_GB2312"/>
                <w:sz w:val="20"/>
                <w:szCs w:val="20"/>
              </w:rPr>
            </w:pPr>
            <w:r>
              <w:rPr>
                <w:rFonts w:hint="eastAsia" w:ascii="Times New Roman" w:hAnsi="Times New Roman" w:eastAsia="仿宋_GB2312"/>
                <w:sz w:val="20"/>
                <w:szCs w:val="20"/>
              </w:rPr>
              <w:t>矸石已综合利用</w:t>
            </w:r>
          </w:p>
        </w:tc>
        <w:tc>
          <w:tcPr>
            <w:tcW w:w="1290" w:type="dxa"/>
            <w:noWrap w:val="0"/>
            <w:vAlign w:val="center"/>
          </w:tcPr>
          <w:p>
            <w:pPr>
              <w:spacing w:line="240" w:lineRule="exact"/>
              <w:jc w:val="center"/>
              <w:rPr>
                <w:rFonts w:ascii="Times New Roman" w:hAnsi="Times New Roman" w:eastAsia="仿宋_GB2312"/>
                <w:sz w:val="20"/>
                <w:szCs w:val="20"/>
              </w:rPr>
            </w:pPr>
            <w:r>
              <w:rPr>
                <w:rFonts w:ascii="Times New Roman" w:hAnsi="Times New Roman" w:eastAsia="仿宋_GB2312"/>
                <w:sz w:val="20"/>
                <w:szCs w:val="20"/>
              </w:rPr>
              <w:t>无</w:t>
            </w:r>
          </w:p>
        </w:tc>
      </w:tr>
    </w:tbl>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综上所述，从水土保持角度出发，以上施工工艺以及施工工序比较合理。</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3.2.7主体工程设计中具有水土保持功能工程的评价</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水土保持工程界定的原则为：</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1）主导功能原则：以防治水土流失为主要目标的工程为水土保持工程，其设计、工程量、投资应纳入水土保持方案中；以主体设计功能为主，同时具有水土保持功能的工程，不能作为水土保持工程。</w:t>
      </w:r>
    </w:p>
    <w:p>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lang w:val="en-US" w:eastAsia="zh-CN"/>
        </w:rPr>
        <w:t>2</w:t>
      </w:r>
      <w:r>
        <w:rPr>
          <w:rFonts w:ascii="Times New Roman" w:hAnsi="Times New Roman" w:eastAsia="仿宋_GB2312"/>
          <w:sz w:val="24"/>
        </w:rPr>
        <w:t>）试验排除原则：难以区分以主体设计功能为主还是以水土保持功能为主的工程，可按破坏性试验的原则进行排除。假定没有这些工程，主体设计功能仍旧可以发挥作用，但会产生较大的水土流失，此类工程应计入水土保持工程。</w:t>
      </w:r>
    </w:p>
    <w:p>
      <w:pPr>
        <w:pStyle w:val="2"/>
      </w:pPr>
      <w:r>
        <w:rPr>
          <w:rFonts w:hint="eastAsia" w:eastAsia="仿宋_GB2312"/>
          <w:sz w:val="24"/>
          <w:szCs w:val="24"/>
          <w:lang w:eastAsia="zh-CN"/>
        </w:rPr>
        <w:t>项目中主体设计中未对水土保持措施进行布设，故不对具有水土保持功能工程的进行评价。</w:t>
      </w:r>
    </w:p>
    <w:p>
      <w:pPr>
        <w:pStyle w:val="4"/>
        <w:spacing w:before="120" w:after="120" w:line="360" w:lineRule="auto"/>
        <w:ind w:firstLine="0"/>
        <w:rPr>
          <w:rFonts w:ascii="Times New Roman" w:hAnsi="Times New Roman" w:eastAsia="仿宋_GB2312" w:cs="Times New Roman"/>
          <w:b/>
          <w:bCs/>
          <w:sz w:val="32"/>
          <w:szCs w:val="32"/>
        </w:rPr>
      </w:pPr>
      <w:bookmarkStart w:id="89" w:name="_Toc17098"/>
      <w:bookmarkStart w:id="90" w:name="_Toc572"/>
      <w:r>
        <w:rPr>
          <w:rFonts w:ascii="Times New Roman" w:hAnsi="Times New Roman" w:eastAsia="仿宋_GB2312" w:cs="Times New Roman"/>
          <w:b/>
          <w:bCs/>
          <w:sz w:val="32"/>
          <w:szCs w:val="32"/>
        </w:rPr>
        <w:t>3.3主体工程设计中水土保持措施界定</w:t>
      </w:r>
      <w:bookmarkEnd w:id="89"/>
      <w:bookmarkEnd w:id="90"/>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各分区具有水土保持功能措施介绍如下：</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rPr>
        <w:t>1、</w:t>
      </w:r>
      <w:r>
        <w:rPr>
          <w:rFonts w:hint="eastAsia" w:eastAsia="仿宋_GB2312"/>
          <w:sz w:val="24"/>
          <w:szCs w:val="24"/>
          <w:lang w:eastAsia="zh-CN"/>
        </w:rPr>
        <w:t>加工场地</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主体设计中未考虑场地的排水措施，本方案予以补充。</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2、采场</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主体设计中未考虑采场的平台排水沟</w:t>
      </w:r>
      <w:r>
        <w:rPr>
          <w:rFonts w:hint="eastAsia" w:ascii="Times New Roman" w:hAnsi="Times New Roman" w:eastAsia="仿宋_GB2312"/>
          <w:sz w:val="24"/>
          <w:szCs w:val="24"/>
          <w:lang w:eastAsia="zh-CN"/>
        </w:rPr>
        <w:t>、</w:t>
      </w:r>
      <w:r>
        <w:rPr>
          <w:rFonts w:hint="eastAsia" w:ascii="Times New Roman" w:hAnsi="Times New Roman" w:eastAsia="仿宋_GB2312"/>
          <w:sz w:val="24"/>
          <w:szCs w:val="24"/>
        </w:rPr>
        <w:t>采场的周边截水沟和闭场后的覆土、植被恢复等措施，不符合水土保持要求，水土保持方案将予以补充。</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val="en-US" w:eastAsia="zh-CN"/>
        </w:rPr>
        <w:t>3</w:t>
      </w:r>
      <w:r>
        <w:rPr>
          <w:rFonts w:hint="eastAsia" w:ascii="Times New Roman" w:hAnsi="Times New Roman" w:eastAsia="仿宋_GB2312"/>
          <w:sz w:val="24"/>
          <w:szCs w:val="24"/>
        </w:rPr>
        <w:t>、</w:t>
      </w:r>
      <w:r>
        <w:rPr>
          <w:rFonts w:hint="eastAsia" w:eastAsia="仿宋_GB2312"/>
          <w:sz w:val="24"/>
          <w:szCs w:val="24"/>
          <w:lang w:eastAsia="zh-CN"/>
        </w:rPr>
        <w:t>场地</w:t>
      </w:r>
      <w:r>
        <w:rPr>
          <w:rFonts w:hint="eastAsia" w:ascii="Times New Roman" w:hAnsi="Times New Roman" w:eastAsia="仿宋_GB2312"/>
          <w:sz w:val="24"/>
          <w:szCs w:val="24"/>
          <w:lang w:eastAsia="zh-CN"/>
        </w:rPr>
        <w:t>道路</w:t>
      </w:r>
    </w:p>
    <w:p>
      <w:pPr>
        <w:spacing w:line="360" w:lineRule="auto"/>
        <w:ind w:firstLine="480" w:firstLineChars="200"/>
        <w:rPr>
          <w:rFonts w:hint="eastAsia" w:ascii="Times New Roman" w:hAnsi="Times New Roman" w:eastAsia="仿宋_GB2312"/>
          <w:sz w:val="24"/>
          <w:szCs w:val="24"/>
        </w:rPr>
      </w:pPr>
      <w:r>
        <w:rPr>
          <w:rFonts w:hint="eastAsia" w:ascii="Times New Roman" w:hAnsi="Times New Roman" w:eastAsia="仿宋_GB2312"/>
          <w:sz w:val="24"/>
          <w:szCs w:val="24"/>
        </w:rPr>
        <w:t>主体工程对</w:t>
      </w:r>
      <w:r>
        <w:rPr>
          <w:rFonts w:hint="eastAsia" w:eastAsia="仿宋_GB2312"/>
          <w:sz w:val="24"/>
          <w:szCs w:val="24"/>
          <w:lang w:eastAsia="zh-CN"/>
        </w:rPr>
        <w:t>场地道路</w:t>
      </w:r>
      <w:r>
        <w:rPr>
          <w:rFonts w:hint="eastAsia" w:ascii="Times New Roman" w:hAnsi="Times New Roman" w:eastAsia="仿宋_GB2312"/>
          <w:sz w:val="24"/>
          <w:szCs w:val="24"/>
        </w:rPr>
        <w:t>未采取任何水土保持防护措施，不符合水土保持要求，本方案新增道路一侧排水措施。</w:t>
      </w:r>
    </w:p>
    <w:p>
      <w:pPr>
        <w:pStyle w:val="2"/>
        <w:rPr>
          <w:rFonts w:hint="eastAsia" w:eastAsia="仿宋_GB2312"/>
          <w:lang w:eastAsia="zh-CN"/>
        </w:rPr>
      </w:pPr>
      <w:r>
        <w:rPr>
          <w:rFonts w:hint="eastAsia" w:eastAsia="仿宋_GB2312"/>
          <w:sz w:val="24"/>
          <w:szCs w:val="24"/>
          <w:lang w:eastAsia="zh-CN"/>
        </w:rPr>
        <w:t>综上所述，项目中主体设计中未对水土保持措施进行布设，目前场内无水保措施，故本方案新增加工场地排水、采场截排水和绿化、场地道路绿化和排水等措施。</w:t>
      </w:r>
    </w:p>
    <w:p>
      <w:pPr>
        <w:rPr>
          <w:rFonts w:hint="eastAsia"/>
        </w:rPr>
      </w:pPr>
      <w:r>
        <w:rPr>
          <w:rFonts w:hint="eastAsia"/>
        </w:rPr>
        <w:br w:type="page"/>
      </w:r>
    </w:p>
    <w:p>
      <w:pPr>
        <w:pStyle w:val="3"/>
        <w:rPr>
          <w:rFonts w:ascii="Times New Roman" w:hAnsi="Times New Roman" w:eastAsia="仿宋_GB2312"/>
        </w:rPr>
      </w:pPr>
      <w:bookmarkStart w:id="91" w:name="_Toc15340"/>
      <w:r>
        <w:rPr>
          <w:rFonts w:ascii="Times New Roman" w:hAnsi="Times New Roman" w:eastAsia="仿宋_GB2312"/>
        </w:rPr>
        <w:t>4水土流失分析与预测</w:t>
      </w:r>
      <w:bookmarkEnd w:id="91"/>
    </w:p>
    <w:p>
      <w:pPr>
        <w:pStyle w:val="4"/>
        <w:spacing w:before="120" w:after="120" w:line="360" w:lineRule="auto"/>
        <w:ind w:firstLine="0"/>
        <w:rPr>
          <w:rFonts w:ascii="Times New Roman" w:hAnsi="Times New Roman" w:eastAsia="仿宋_GB2312" w:cs="Times New Roman"/>
          <w:b/>
          <w:bCs/>
          <w:sz w:val="32"/>
          <w:szCs w:val="32"/>
        </w:rPr>
      </w:pPr>
      <w:bookmarkStart w:id="92" w:name="_Toc25880"/>
      <w:bookmarkStart w:id="93" w:name="_Toc12964"/>
      <w:r>
        <w:rPr>
          <w:rFonts w:ascii="Times New Roman" w:hAnsi="Times New Roman" w:eastAsia="仿宋_GB2312" w:cs="Times New Roman"/>
          <w:b/>
          <w:bCs/>
          <w:sz w:val="32"/>
          <w:szCs w:val="32"/>
        </w:rPr>
        <w:t>4.1水土流失现状</w:t>
      </w:r>
      <w:bookmarkEnd w:id="92"/>
      <w:bookmarkEnd w:id="93"/>
    </w:p>
    <w:p>
      <w:pPr>
        <w:spacing w:line="360" w:lineRule="auto"/>
        <w:ind w:firstLine="556" w:firstLineChars="232"/>
        <w:jc w:val="left"/>
        <w:rPr>
          <w:rFonts w:ascii="Times New Roman" w:hAnsi="Times New Roman" w:eastAsia="仿宋_GB2312"/>
          <w:kern w:val="0"/>
          <w:sz w:val="24"/>
          <w:szCs w:val="24"/>
        </w:rPr>
      </w:pPr>
      <w:r>
        <w:rPr>
          <w:rFonts w:ascii="Times New Roman" w:hAnsi="Times New Roman" w:eastAsia="仿宋_GB2312"/>
          <w:kern w:val="0"/>
          <w:sz w:val="24"/>
          <w:szCs w:val="24"/>
        </w:rPr>
        <w:t>综合考虑项目区水力侵蚀以及地表形态、降雨、土壤、植被等水土流失影响因子的特性及调查对象受扰动情况，经过现场调查，并参考项目区土壤侵蚀强度分布图，通过加权平均确定项目区原地貌土壤侵蚀模数为</w:t>
      </w:r>
      <w:r>
        <w:rPr>
          <w:rFonts w:hint="eastAsia" w:ascii="Times New Roman" w:hAnsi="Times New Roman" w:eastAsia="仿宋_GB2312"/>
          <w:kern w:val="0"/>
          <w:sz w:val="24"/>
          <w:szCs w:val="24"/>
        </w:rPr>
        <w:t>工矿用地2700t/km².a、</w:t>
      </w:r>
      <w:r>
        <w:rPr>
          <w:rFonts w:ascii="Times New Roman" w:hAnsi="Times New Roman" w:eastAsia="仿宋_GB2312"/>
          <w:kern w:val="0"/>
          <w:sz w:val="24"/>
          <w:szCs w:val="24"/>
        </w:rPr>
        <w:t>属于</w:t>
      </w:r>
      <w:r>
        <w:rPr>
          <w:rFonts w:hint="eastAsia" w:ascii="Times New Roman" w:hAnsi="Times New Roman" w:eastAsia="仿宋_GB2312"/>
          <w:kern w:val="0"/>
          <w:sz w:val="24"/>
          <w:szCs w:val="24"/>
          <w:lang w:eastAsia="zh-CN"/>
        </w:rPr>
        <w:t>中</w:t>
      </w:r>
      <w:r>
        <w:rPr>
          <w:rFonts w:ascii="Times New Roman" w:hAnsi="Times New Roman" w:eastAsia="仿宋_GB2312"/>
          <w:kern w:val="0"/>
          <w:sz w:val="24"/>
          <w:szCs w:val="24"/>
        </w:rPr>
        <w:t>度侵蚀。项目区属于西北</w:t>
      </w:r>
      <w:r>
        <w:rPr>
          <w:rFonts w:hint="eastAsia" w:eastAsia="仿宋_GB2312"/>
          <w:kern w:val="0"/>
          <w:sz w:val="24"/>
          <w:szCs w:val="24"/>
          <w:lang w:eastAsia="zh-CN"/>
        </w:rPr>
        <w:t>黄土高原</w:t>
      </w:r>
      <w:r>
        <w:rPr>
          <w:rFonts w:hint="eastAsia" w:ascii="Times New Roman" w:hAnsi="Times New Roman" w:eastAsia="仿宋_GB2312"/>
          <w:kern w:val="0"/>
          <w:sz w:val="24"/>
          <w:szCs w:val="24"/>
          <w:lang w:eastAsia="zh-CN"/>
        </w:rPr>
        <w:t>区</w:t>
      </w:r>
      <w:r>
        <w:rPr>
          <w:rFonts w:ascii="Times New Roman" w:hAnsi="Times New Roman" w:eastAsia="仿宋_GB2312"/>
          <w:kern w:val="0"/>
          <w:sz w:val="24"/>
          <w:szCs w:val="24"/>
        </w:rPr>
        <w:t>，属水力侵蚀区，土壤容许流失量为1000t/（km</w:t>
      </w:r>
      <w:r>
        <w:rPr>
          <w:rFonts w:ascii="Times New Roman" w:hAnsi="Times New Roman" w:eastAsia="仿宋_GB2312"/>
          <w:kern w:val="0"/>
          <w:sz w:val="24"/>
          <w:szCs w:val="24"/>
          <w:vertAlign w:val="superscript"/>
        </w:rPr>
        <w:t>2</w:t>
      </w:r>
      <w:r>
        <w:rPr>
          <w:rFonts w:ascii="Times New Roman" w:hAnsi="Times New Roman" w:eastAsia="仿宋_GB2312"/>
          <w:kern w:val="0"/>
          <w:sz w:val="24"/>
          <w:szCs w:val="24"/>
        </w:rPr>
        <w:t>.a）。</w:t>
      </w:r>
    </w:p>
    <w:p>
      <w:pPr>
        <w:pStyle w:val="4"/>
        <w:spacing w:before="120" w:after="120" w:line="360" w:lineRule="auto"/>
        <w:ind w:firstLine="0"/>
        <w:rPr>
          <w:rFonts w:ascii="Times New Roman" w:hAnsi="Times New Roman" w:eastAsia="仿宋_GB2312" w:cs="Times New Roman"/>
          <w:b/>
          <w:bCs/>
          <w:sz w:val="32"/>
          <w:szCs w:val="32"/>
        </w:rPr>
      </w:pPr>
      <w:bookmarkStart w:id="94" w:name="_Toc4175"/>
      <w:bookmarkStart w:id="95" w:name="_Toc1446"/>
      <w:r>
        <w:rPr>
          <w:rFonts w:ascii="Times New Roman" w:hAnsi="Times New Roman" w:eastAsia="仿宋_GB2312" w:cs="Times New Roman"/>
          <w:b/>
          <w:bCs/>
          <w:sz w:val="32"/>
          <w:szCs w:val="32"/>
        </w:rPr>
        <w:t>4.2水土流失影响因素分析</w:t>
      </w:r>
      <w:bookmarkEnd w:id="94"/>
      <w:bookmarkEnd w:id="95"/>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4.2.1扰动地表面积</w:t>
      </w:r>
    </w:p>
    <w:p>
      <w:pPr>
        <w:spacing w:line="360" w:lineRule="auto"/>
        <w:ind w:firstLine="556" w:firstLineChars="232"/>
        <w:jc w:val="left"/>
        <w:rPr>
          <w:rFonts w:ascii="Times New Roman" w:hAnsi="Times New Roman" w:eastAsia="仿宋_GB2312"/>
          <w:kern w:val="0"/>
          <w:sz w:val="24"/>
          <w:szCs w:val="24"/>
        </w:rPr>
      </w:pPr>
      <w:r>
        <w:rPr>
          <w:rFonts w:ascii="Times New Roman" w:hAnsi="Times New Roman" w:eastAsia="仿宋_GB2312"/>
          <w:kern w:val="0"/>
          <w:sz w:val="24"/>
          <w:szCs w:val="24"/>
        </w:rPr>
        <w:t>1、扰动原地貌、损坏土地和植被面积预测</w:t>
      </w:r>
    </w:p>
    <w:p>
      <w:pPr>
        <w:spacing w:line="360" w:lineRule="auto"/>
        <w:ind w:firstLine="556" w:firstLineChars="232"/>
        <w:jc w:val="left"/>
        <w:rPr>
          <w:rFonts w:ascii="Times New Roman" w:hAnsi="Times New Roman" w:eastAsia="仿宋_GB2312"/>
          <w:kern w:val="0"/>
          <w:sz w:val="24"/>
          <w:szCs w:val="24"/>
        </w:rPr>
      </w:pPr>
      <w:r>
        <w:rPr>
          <w:rFonts w:ascii="Times New Roman" w:hAnsi="Times New Roman" w:eastAsia="仿宋_GB2312"/>
          <w:kern w:val="0"/>
          <w:sz w:val="24"/>
          <w:szCs w:val="24"/>
        </w:rPr>
        <w:t>本工程扰动地表面积预测，根据工程资料，结合实地踏勘调查，对工程建设期开挖扰动、压占地表和损坏的植被面积进行量测统计。本工程新增扰动原地貌的面积为</w:t>
      </w:r>
      <w:r>
        <w:rPr>
          <w:rFonts w:hint="eastAsia" w:eastAsia="仿宋_GB2312"/>
          <w:kern w:val="0"/>
          <w:sz w:val="24"/>
          <w:szCs w:val="24"/>
          <w:lang w:val="en-US" w:eastAsia="zh-CN"/>
        </w:rPr>
        <w:t>3.51</w:t>
      </w:r>
      <w:r>
        <w:rPr>
          <w:rFonts w:ascii="Times New Roman" w:hAnsi="Times New Roman" w:eastAsia="仿宋_GB2312"/>
          <w:kern w:val="0"/>
          <w:sz w:val="24"/>
          <w:szCs w:val="24"/>
        </w:rPr>
        <w:t>hm</w:t>
      </w:r>
      <w:r>
        <w:rPr>
          <w:rFonts w:ascii="Times New Roman" w:hAnsi="Times New Roman" w:eastAsia="仿宋_GB2312"/>
          <w:kern w:val="0"/>
          <w:sz w:val="24"/>
          <w:szCs w:val="24"/>
          <w:vertAlign w:val="superscript"/>
        </w:rPr>
        <w:t>2</w:t>
      </w:r>
      <w:r>
        <w:rPr>
          <w:rFonts w:ascii="Times New Roman" w:hAnsi="Times New Roman" w:eastAsia="仿宋_GB2312"/>
          <w:kern w:val="0"/>
          <w:sz w:val="24"/>
          <w:szCs w:val="24"/>
        </w:rPr>
        <w:t>。详见表4-1。</w:t>
      </w:r>
    </w:p>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表4-1  扰动地表及损坏水保设施面积统计表</w:t>
      </w:r>
    </w:p>
    <w:tbl>
      <w:tblPr>
        <w:tblStyle w:val="24"/>
        <w:tblW w:w="84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3"/>
        <w:gridCol w:w="2247"/>
        <w:gridCol w:w="1400"/>
        <w:gridCol w:w="1399"/>
        <w:gridCol w:w="1401"/>
        <w:gridCol w:w="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0" w:hRule="atLeast"/>
          <w:jc w:val="center"/>
        </w:trPr>
        <w:tc>
          <w:tcPr>
            <w:tcW w:w="5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序号</w:t>
            </w:r>
          </w:p>
        </w:tc>
        <w:tc>
          <w:tcPr>
            <w:tcW w:w="224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项目名称</w:t>
            </w:r>
          </w:p>
        </w:tc>
        <w:tc>
          <w:tcPr>
            <w:tcW w:w="42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占地类型</w:t>
            </w:r>
          </w:p>
        </w:tc>
        <w:tc>
          <w:tcPr>
            <w:tcW w:w="14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8" w:hRule="atLeast"/>
          <w:jc w:val="center"/>
        </w:trPr>
        <w:tc>
          <w:tcPr>
            <w:tcW w:w="55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224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sz w:val="21"/>
                <w:szCs w:val="21"/>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工矿用地</w:t>
            </w: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交通运输用地</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其他草地</w:t>
            </w:r>
          </w:p>
        </w:tc>
        <w:tc>
          <w:tcPr>
            <w:tcW w:w="14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jc w:val="center"/>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采场</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2.32</w:t>
            </w: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jc w:val="center"/>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2</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加工场地</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0.36</w:t>
            </w: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jc w:val="center"/>
        </w:trPr>
        <w:tc>
          <w:tcPr>
            <w:tcW w:w="553"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3</w:t>
            </w:r>
          </w:p>
        </w:tc>
        <w:tc>
          <w:tcPr>
            <w:tcW w:w="2247"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场地道路</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lang w:val="en-US" w:eastAsia="zh-CN"/>
              </w:rPr>
            </w:pP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sz w:val="22"/>
                <w:szCs w:val="22"/>
                <w:u w:val="none"/>
                <w:lang w:val="en-US" w:eastAsia="zh-CN"/>
              </w:rPr>
              <w:t>0.82</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sz w:val="22"/>
                <w:szCs w:val="22"/>
                <w:u w:val="none"/>
                <w:lang w:val="en-US" w:eastAsia="zh-CN"/>
              </w:rPr>
              <w:t>0.82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jc w:val="center"/>
        </w:trPr>
        <w:tc>
          <w:tcPr>
            <w:tcW w:w="5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4</w:t>
            </w:r>
          </w:p>
        </w:tc>
        <w:tc>
          <w:tcPr>
            <w:tcW w:w="22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输电线路</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kern w:val="0"/>
                <w:sz w:val="21"/>
                <w:szCs w:val="21"/>
                <w:u w:val="none"/>
                <w:lang w:val="en-US" w:eastAsia="zh-CN" w:bidi="ar"/>
              </w:rPr>
            </w:pP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0.01</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3" w:hRule="atLeast"/>
          <w:jc w:val="center"/>
        </w:trPr>
        <w:tc>
          <w:tcPr>
            <w:tcW w:w="28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合计</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2.68</w:t>
            </w:r>
          </w:p>
        </w:tc>
        <w:tc>
          <w:tcPr>
            <w:tcW w:w="13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ascii="Times New Roman" w:hAnsi="Times New Roman" w:eastAsia="宋体" w:cs="Times New Roman"/>
                <w:b/>
                <w:i w:val="0"/>
                <w:color w:val="000000"/>
                <w:kern w:val="0"/>
                <w:sz w:val="21"/>
                <w:szCs w:val="21"/>
                <w:u w:val="none"/>
                <w:lang w:val="en-US" w:eastAsia="zh-CN" w:bidi="ar"/>
              </w:rPr>
              <w:t>0</w:t>
            </w:r>
            <w:r>
              <w:rPr>
                <w:rFonts w:hint="eastAsia" w:eastAsia="宋体" w:cs="Times New Roman"/>
                <w:b/>
                <w:i w:val="0"/>
                <w:color w:val="000000"/>
                <w:kern w:val="0"/>
                <w:sz w:val="21"/>
                <w:szCs w:val="21"/>
                <w:u w:val="none"/>
                <w:lang w:val="en-US" w:eastAsia="zh-CN" w:bidi="ar"/>
              </w:rPr>
              <w:t>.82</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default" w:ascii="Times New Roman" w:hAnsi="Times New Roman" w:eastAsia="宋体" w:cs="Times New Roman"/>
                <w:b/>
                <w:i w:val="0"/>
                <w:color w:val="000000"/>
                <w:kern w:val="0"/>
                <w:sz w:val="21"/>
                <w:szCs w:val="21"/>
                <w:u w:val="none"/>
                <w:lang w:val="en-US" w:eastAsia="zh-CN" w:bidi="ar"/>
              </w:rPr>
              <w:t>0.01</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eastAsia="宋体" w:cs="Times New Roman"/>
                <w:b/>
                <w:i w:val="0"/>
                <w:color w:val="000000"/>
                <w:kern w:val="0"/>
                <w:sz w:val="21"/>
                <w:szCs w:val="21"/>
                <w:u w:val="none"/>
                <w:lang w:val="en-US" w:eastAsia="zh-CN" w:bidi="ar"/>
              </w:rPr>
              <w:t>3.51</w:t>
            </w:r>
          </w:p>
        </w:tc>
      </w:tr>
    </w:tbl>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2、损坏水土保持设施面积预测</w:t>
      </w:r>
    </w:p>
    <w:p>
      <w:pPr>
        <w:spacing w:line="360" w:lineRule="auto"/>
        <w:ind w:firstLine="464" w:firstLineChars="200"/>
        <w:rPr>
          <w:rFonts w:ascii="Times New Roman" w:hAnsi="Times New Roman" w:eastAsia="仿宋_GB2312"/>
          <w:spacing w:val="-4"/>
          <w:sz w:val="24"/>
        </w:rPr>
      </w:pPr>
      <w:r>
        <w:rPr>
          <w:rFonts w:ascii="Times New Roman" w:hAnsi="Times New Roman" w:eastAsia="仿宋_GB2312"/>
          <w:spacing w:val="-4"/>
          <w:sz w:val="24"/>
        </w:rPr>
        <w:t>按照国家水土保持法和山西省有关水土保持规定，项目建设新增损坏水土保持设施的类型包括</w:t>
      </w:r>
      <w:r>
        <w:rPr>
          <w:rFonts w:hint="eastAsia" w:ascii="Times New Roman" w:hAnsi="Times New Roman" w:eastAsia="仿宋_GB2312"/>
          <w:spacing w:val="-4"/>
          <w:sz w:val="24"/>
          <w:lang w:eastAsia="zh-CN"/>
        </w:rPr>
        <w:t>工矿用地、交通运输用地和</w:t>
      </w:r>
      <w:r>
        <w:rPr>
          <w:rFonts w:ascii="Times New Roman" w:hAnsi="Times New Roman" w:eastAsia="仿宋_GB2312"/>
          <w:spacing w:val="-4"/>
          <w:sz w:val="24"/>
        </w:rPr>
        <w:t>其它草地等，新增损坏水土保持设施面积为</w:t>
      </w:r>
      <w:r>
        <w:rPr>
          <w:rFonts w:hint="eastAsia" w:eastAsia="仿宋_GB2312"/>
          <w:spacing w:val="-4"/>
          <w:sz w:val="24"/>
          <w:lang w:val="en-US" w:eastAsia="zh-CN"/>
        </w:rPr>
        <w:t>3.51</w:t>
      </w:r>
      <w:r>
        <w:rPr>
          <w:rFonts w:ascii="Times New Roman" w:hAnsi="Times New Roman" w:eastAsia="仿宋_GB2312"/>
          <w:spacing w:val="-4"/>
          <w:sz w:val="24"/>
        </w:rPr>
        <w:t>hm</w:t>
      </w:r>
      <w:r>
        <w:rPr>
          <w:rFonts w:ascii="Times New Roman" w:hAnsi="Times New Roman" w:eastAsia="仿宋_GB2312"/>
          <w:spacing w:val="-4"/>
          <w:sz w:val="24"/>
          <w:vertAlign w:val="superscript"/>
        </w:rPr>
        <w:t>2</w:t>
      </w:r>
      <w:r>
        <w:rPr>
          <w:rFonts w:ascii="Times New Roman" w:hAnsi="Times New Roman" w:eastAsia="仿宋_GB2312"/>
          <w:spacing w:val="-4"/>
          <w:sz w:val="24"/>
        </w:rPr>
        <w:t>。</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4.2.2弃渣量预测</w:t>
      </w:r>
    </w:p>
    <w:p>
      <w:pPr>
        <w:spacing w:line="360" w:lineRule="auto"/>
        <w:ind w:firstLine="480" w:firstLineChars="200"/>
        <w:rPr>
          <w:rFonts w:hint="eastAsia" w:ascii="Times New Roman" w:hAnsi="Times New Roman" w:eastAsia="仿宋_GB2312"/>
          <w:sz w:val="24"/>
          <w:szCs w:val="24"/>
          <w:lang w:eastAsia="zh-CN"/>
        </w:rPr>
      </w:pPr>
      <w:r>
        <w:rPr>
          <w:rFonts w:hint="eastAsia" w:ascii="Times New Roman" w:hAnsi="Times New Roman" w:eastAsia="仿宋_GB2312"/>
          <w:sz w:val="24"/>
          <w:szCs w:val="24"/>
          <w:lang w:eastAsia="zh-CN"/>
        </w:rPr>
        <w:t>工程土石方开挖0.5万m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，填方0.5万m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，土石方挖填平衡，矿山生产过程中产生的废石（废石总量0.53万m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岩性主要有寒武系中统馒头组白云质灰岩、泥灰岩、薄层灰岩和白云岩等）已与曲沃县顺风建材有限公司签订废石购销合同，全部运往曲沃县顺风建材有限建材公司综合利用。曲沃县顺风建材有限公司设计年生产加工矿石10万t，建设有石料破碎筛分设备，用于石料加工，加工后生产建筑材料用于水泥制品、砖等企业作为加工原料，有能力满足项目生产过程的中废石处理问题。</w:t>
      </w:r>
    </w:p>
    <w:p>
      <w:pPr>
        <w:pStyle w:val="4"/>
        <w:spacing w:before="120" w:after="120" w:line="360" w:lineRule="auto"/>
        <w:ind w:firstLine="0"/>
        <w:rPr>
          <w:rFonts w:hint="eastAsia" w:ascii="Times New Roman" w:hAnsi="Times New Roman" w:eastAsia="仿宋_GB2312" w:cs="Times New Roman"/>
          <w:b/>
          <w:bCs/>
          <w:sz w:val="32"/>
          <w:szCs w:val="32"/>
          <w:lang w:eastAsia="zh-CN"/>
        </w:rPr>
      </w:pPr>
      <w:bookmarkStart w:id="96" w:name="_Toc27205"/>
      <w:bookmarkStart w:id="97" w:name="_Toc617"/>
      <w:r>
        <w:rPr>
          <w:rFonts w:ascii="Times New Roman" w:hAnsi="Times New Roman" w:eastAsia="仿宋_GB2312" w:cs="Times New Roman"/>
          <w:b/>
          <w:bCs/>
          <w:sz w:val="32"/>
          <w:szCs w:val="32"/>
        </w:rPr>
        <w:t>4.3土壤流失量</w:t>
      </w:r>
      <w:r>
        <w:rPr>
          <w:rFonts w:hint="eastAsia" w:ascii="Times New Roman" w:hAnsi="Times New Roman" w:eastAsia="仿宋_GB2312" w:cs="Times New Roman"/>
          <w:b/>
          <w:bCs/>
          <w:sz w:val="32"/>
          <w:szCs w:val="32"/>
          <w:lang w:eastAsia="zh-CN"/>
        </w:rPr>
        <w:t>预测</w:t>
      </w:r>
      <w:bookmarkEnd w:id="96"/>
      <w:bookmarkEnd w:id="97"/>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4.3.1</w:t>
      </w:r>
      <w:r>
        <w:rPr>
          <w:rFonts w:hint="eastAsia" w:ascii="Times New Roman" w:hAnsi="Times New Roman" w:eastAsia="仿宋_GB2312"/>
          <w:sz w:val="30"/>
          <w:szCs w:val="30"/>
          <w:lang w:eastAsia="zh-CN"/>
        </w:rPr>
        <w:t>预测</w:t>
      </w:r>
      <w:r>
        <w:rPr>
          <w:rFonts w:ascii="Times New Roman" w:hAnsi="Times New Roman" w:eastAsia="仿宋_GB2312"/>
          <w:sz w:val="30"/>
          <w:szCs w:val="30"/>
        </w:rPr>
        <w:t>单元</w:t>
      </w:r>
    </w:p>
    <w:p>
      <w:pPr>
        <w:spacing w:line="360" w:lineRule="auto"/>
        <w:ind w:firstLine="480" w:firstLineChars="200"/>
        <w:jc w:val="left"/>
        <w:rPr>
          <w:rFonts w:ascii="Times New Roman" w:hAnsi="Times New Roman" w:eastAsia="仿宋_GB2312"/>
          <w:kern w:val="0"/>
          <w:sz w:val="24"/>
          <w:szCs w:val="24"/>
        </w:rPr>
      </w:pPr>
      <w:r>
        <w:rPr>
          <w:rFonts w:hint="eastAsia" w:ascii="Times New Roman" w:hAnsi="Times New Roman" w:eastAsia="仿宋_GB2312"/>
          <w:kern w:val="0"/>
          <w:sz w:val="24"/>
          <w:szCs w:val="24"/>
        </w:rPr>
        <w:t>由于本项目</w:t>
      </w:r>
      <w:r>
        <w:rPr>
          <w:rFonts w:hint="eastAsia" w:ascii="Times New Roman" w:hAnsi="Times New Roman" w:eastAsia="仿宋_GB2312"/>
          <w:kern w:val="0"/>
          <w:sz w:val="24"/>
          <w:szCs w:val="24"/>
          <w:lang w:eastAsia="zh-CN"/>
        </w:rPr>
        <w:t>输电线路为利用原有，故</w:t>
      </w:r>
      <w:r>
        <w:rPr>
          <w:rFonts w:hint="eastAsia" w:ascii="Times New Roman" w:hAnsi="Times New Roman" w:eastAsia="仿宋_GB2312"/>
          <w:kern w:val="0"/>
          <w:sz w:val="24"/>
          <w:szCs w:val="24"/>
        </w:rPr>
        <w:t>对</w:t>
      </w:r>
      <w:r>
        <w:rPr>
          <w:rFonts w:hint="eastAsia" w:ascii="Times New Roman" w:hAnsi="Times New Roman" w:eastAsia="仿宋_GB2312"/>
          <w:sz w:val="24"/>
          <w:szCs w:val="24"/>
        </w:rPr>
        <w:t>采场、</w:t>
      </w:r>
      <w:r>
        <w:rPr>
          <w:rFonts w:hint="eastAsia" w:eastAsia="仿宋_GB2312"/>
          <w:sz w:val="24"/>
          <w:szCs w:val="24"/>
          <w:lang w:eastAsia="zh-CN"/>
        </w:rPr>
        <w:t>加工场地、场地道路</w:t>
      </w:r>
      <w:r>
        <w:rPr>
          <w:rFonts w:hint="eastAsia" w:ascii="Times New Roman" w:hAnsi="Times New Roman" w:eastAsia="仿宋_GB2312"/>
          <w:kern w:val="0"/>
          <w:sz w:val="24"/>
          <w:szCs w:val="24"/>
        </w:rPr>
        <w:t>进行</w:t>
      </w:r>
      <w:r>
        <w:rPr>
          <w:rFonts w:hint="eastAsia" w:ascii="Times New Roman" w:hAnsi="Times New Roman" w:eastAsia="仿宋_GB2312"/>
          <w:kern w:val="0"/>
          <w:sz w:val="24"/>
          <w:szCs w:val="24"/>
          <w:lang w:eastAsia="zh-CN"/>
        </w:rPr>
        <w:t>水土流失预测</w:t>
      </w:r>
      <w:r>
        <w:rPr>
          <w:rFonts w:hint="eastAsia" w:ascii="Times New Roman" w:hAnsi="Times New Roman" w:eastAsia="仿宋_GB2312"/>
          <w:kern w:val="0"/>
          <w:sz w:val="24"/>
          <w:szCs w:val="24"/>
        </w:rPr>
        <w:t>。</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4.3.2</w:t>
      </w:r>
      <w:r>
        <w:rPr>
          <w:rFonts w:hint="eastAsia" w:ascii="Times New Roman" w:hAnsi="Times New Roman" w:eastAsia="仿宋_GB2312"/>
          <w:sz w:val="30"/>
          <w:szCs w:val="30"/>
          <w:lang w:eastAsia="zh-CN"/>
        </w:rPr>
        <w:t>预测</w:t>
      </w:r>
      <w:r>
        <w:rPr>
          <w:rFonts w:ascii="Times New Roman" w:hAnsi="Times New Roman" w:eastAsia="仿宋_GB2312"/>
          <w:sz w:val="30"/>
          <w:szCs w:val="30"/>
        </w:rPr>
        <w:t>时段</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根据《开发建设项目水土保持技术规范》和建设项目特点，水土流失预测时段划分为建设期、自然恢复期和运行期。</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考虑到水土流失主要发生在汛期（该区域汛期为6~9月）的特点，在确定</w:t>
      </w:r>
      <w:r>
        <w:rPr>
          <w:rFonts w:hint="eastAsia" w:ascii="Times New Roman" w:hAnsi="Times New Roman" w:eastAsia="仿宋_GB2312"/>
          <w:sz w:val="24"/>
          <w:lang w:eastAsia="zh-CN"/>
        </w:rPr>
        <w:t>调查</w:t>
      </w:r>
      <w:r>
        <w:rPr>
          <w:rFonts w:ascii="Times New Roman" w:hAnsi="Times New Roman" w:eastAsia="仿宋_GB2312"/>
          <w:sz w:val="24"/>
        </w:rPr>
        <w:t>时间时根据工程施工跨汛期情况作适当调整。预测时段按最不利的情况考虑，超过雨季长度的按一年计算，不超过雨季长度的按占比计算。根据当地气候特征，自然恢复期按3年进行预测。</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各预测单元的预测时段详见表4</w:t>
      </w:r>
      <w:r>
        <w:rPr>
          <w:rFonts w:hint="eastAsia" w:ascii="Times New Roman" w:hAnsi="Times New Roman" w:eastAsia="仿宋_GB2312"/>
          <w:sz w:val="24"/>
          <w:lang w:val="en-US" w:eastAsia="zh-CN"/>
        </w:rPr>
        <w:t>-2</w:t>
      </w:r>
      <w:r>
        <w:rPr>
          <w:rFonts w:ascii="Times New Roman" w:hAnsi="Times New Roman" w:eastAsia="仿宋_GB2312"/>
          <w:sz w:val="24"/>
        </w:rPr>
        <w:t>。</w:t>
      </w:r>
    </w:p>
    <w:p>
      <w:pPr>
        <w:rPr>
          <w:rFonts w:ascii="Times New Roman" w:hAnsi="Times New Roman" w:eastAsia="仿宋_GB2312"/>
          <w:b/>
          <w:bCs/>
          <w:sz w:val="24"/>
        </w:rPr>
      </w:pPr>
      <w:r>
        <w:rPr>
          <w:rFonts w:ascii="Times New Roman" w:hAnsi="Times New Roman" w:eastAsia="仿宋_GB2312"/>
          <w:b/>
          <w:bCs/>
          <w:sz w:val="24"/>
        </w:rPr>
        <w:br w:type="page"/>
      </w:r>
    </w:p>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表4</w:t>
      </w:r>
      <w:r>
        <w:rPr>
          <w:rFonts w:hint="eastAsia" w:ascii="Times New Roman" w:hAnsi="Times New Roman" w:eastAsia="仿宋_GB2312"/>
          <w:b/>
          <w:bCs/>
          <w:sz w:val="24"/>
          <w:lang w:val="en-US" w:eastAsia="zh-CN"/>
        </w:rPr>
        <w:t>-2</w:t>
      </w:r>
      <w:r>
        <w:rPr>
          <w:rFonts w:ascii="Times New Roman" w:hAnsi="Times New Roman" w:eastAsia="仿宋_GB2312"/>
          <w:b/>
          <w:bCs/>
          <w:sz w:val="24"/>
        </w:rPr>
        <w:t xml:space="preserve">  水土流失预测时段一览表</w:t>
      </w:r>
    </w:p>
    <w:tbl>
      <w:tblPr>
        <w:tblStyle w:val="24"/>
        <w:tblW w:w="890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30"/>
        <w:gridCol w:w="1616"/>
        <w:gridCol w:w="1390"/>
        <w:gridCol w:w="1853"/>
        <w:gridCol w:w="1388"/>
        <w:gridCol w:w="112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530" w:type="dxa"/>
            <w:tcBorders>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时段</w:t>
            </w:r>
          </w:p>
        </w:tc>
        <w:tc>
          <w:tcPr>
            <w:tcW w:w="1616" w:type="dxa"/>
            <w:tcBorders>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项目分区</w:t>
            </w:r>
          </w:p>
        </w:tc>
        <w:tc>
          <w:tcPr>
            <w:tcW w:w="1390" w:type="dxa"/>
            <w:tcBorders>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预测形式</w:t>
            </w:r>
          </w:p>
        </w:tc>
        <w:tc>
          <w:tcPr>
            <w:tcW w:w="1853" w:type="dxa"/>
            <w:tcBorders>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预测时段</w:t>
            </w:r>
          </w:p>
        </w:tc>
        <w:tc>
          <w:tcPr>
            <w:tcW w:w="1388" w:type="dxa"/>
            <w:tcBorders>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预测面积</w:t>
            </w:r>
          </w:p>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（hm²）</w:t>
            </w:r>
          </w:p>
        </w:tc>
        <w:tc>
          <w:tcPr>
            <w:tcW w:w="1123" w:type="dxa"/>
            <w:tcBorders>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时间（a）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0" w:hRule="exact"/>
          <w:jc w:val="center"/>
        </w:trPr>
        <w:tc>
          <w:tcPr>
            <w:tcW w:w="1530" w:type="dxa"/>
            <w:vMerge w:val="restart"/>
            <w:tcBorders>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建设期</w:t>
            </w:r>
          </w:p>
        </w:tc>
        <w:tc>
          <w:tcPr>
            <w:tcW w:w="1616" w:type="dxa"/>
            <w:tcBorders>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加工场地</w:t>
            </w:r>
          </w:p>
        </w:tc>
        <w:tc>
          <w:tcPr>
            <w:tcW w:w="1390" w:type="dxa"/>
            <w:tcBorders>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定量定性</w:t>
            </w:r>
          </w:p>
        </w:tc>
        <w:tc>
          <w:tcPr>
            <w:tcW w:w="1853" w:type="dxa"/>
            <w:tcBorders>
              <w:tl2br w:val="nil"/>
              <w:tr2bl w:val="nil"/>
            </w:tcBorders>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2021.4-2021.10</w:t>
            </w:r>
          </w:p>
        </w:tc>
        <w:tc>
          <w:tcPr>
            <w:tcW w:w="1388" w:type="dxa"/>
            <w:tcBorders>
              <w:tl2br w:val="nil"/>
              <w:tr2bl w:val="nil"/>
            </w:tcBorders>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0.36</w:t>
            </w:r>
          </w:p>
        </w:tc>
        <w:tc>
          <w:tcPr>
            <w:tcW w:w="1123" w:type="dxa"/>
            <w:tcBorders>
              <w:tl2br w:val="nil"/>
              <w:tr2bl w:val="nil"/>
            </w:tcBorders>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0" w:hRule="exact"/>
          <w:jc w:val="center"/>
        </w:trPr>
        <w:tc>
          <w:tcPr>
            <w:tcW w:w="1530" w:type="dxa"/>
            <w:vMerge w:val="continue"/>
            <w:tcBorders>
              <w:bottom w:val="single" w:color="auto" w:sz="4" w:space="0"/>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1616" w:type="dxa"/>
            <w:tcBorders>
              <w:bottom w:val="single" w:color="auto" w:sz="4" w:space="0"/>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场地道路</w:t>
            </w:r>
          </w:p>
        </w:tc>
        <w:tc>
          <w:tcPr>
            <w:tcW w:w="1390" w:type="dxa"/>
            <w:tcBorders>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定量定性</w:t>
            </w:r>
          </w:p>
        </w:tc>
        <w:tc>
          <w:tcPr>
            <w:tcW w:w="1853" w:type="dxa"/>
            <w:tcBorders>
              <w:tl2br w:val="nil"/>
              <w:tr2bl w:val="nil"/>
            </w:tcBorders>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2021.4-2021.10</w:t>
            </w:r>
          </w:p>
        </w:tc>
        <w:tc>
          <w:tcPr>
            <w:tcW w:w="1388" w:type="dxa"/>
            <w:tcBorders>
              <w:tl2br w:val="nil"/>
              <w:tr2bl w:val="nil"/>
            </w:tcBorders>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0.82</w:t>
            </w:r>
          </w:p>
        </w:tc>
        <w:tc>
          <w:tcPr>
            <w:tcW w:w="1123" w:type="dxa"/>
            <w:tcBorders>
              <w:tl2br w:val="nil"/>
              <w:tr2bl w:val="nil"/>
            </w:tcBorders>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0" w:hRule="exact"/>
          <w:jc w:val="center"/>
        </w:trPr>
        <w:tc>
          <w:tcPr>
            <w:tcW w:w="1530" w:type="dxa"/>
            <w:tcBorders>
              <w:top w:val="single" w:color="auto" w:sz="4" w:space="0"/>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eastAsia="仿宋_GB2312"/>
                <w:kern w:val="0"/>
                <w:sz w:val="20"/>
                <w:szCs w:val="20"/>
                <w:lang w:val="en-US" w:eastAsia="zh-CN"/>
              </w:rPr>
              <w:t>运行期</w:t>
            </w:r>
          </w:p>
        </w:tc>
        <w:tc>
          <w:tcPr>
            <w:tcW w:w="1616" w:type="dxa"/>
            <w:tcBorders>
              <w:top w:val="single" w:color="auto" w:sz="4" w:space="0"/>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采场</w:t>
            </w:r>
          </w:p>
        </w:tc>
        <w:tc>
          <w:tcPr>
            <w:tcW w:w="1390" w:type="dxa"/>
            <w:tcBorders>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定量定性</w:t>
            </w:r>
          </w:p>
        </w:tc>
        <w:tc>
          <w:tcPr>
            <w:tcW w:w="1853" w:type="dxa"/>
            <w:tcBorders>
              <w:tl2br w:val="nil"/>
              <w:tr2bl w:val="nil"/>
            </w:tcBorders>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2021</w:t>
            </w:r>
            <w:r>
              <w:rPr>
                <w:rFonts w:hint="eastAsia" w:eastAsia="仿宋_GB2312"/>
                <w:kern w:val="0"/>
                <w:sz w:val="20"/>
                <w:szCs w:val="20"/>
                <w:lang w:val="en-US" w:eastAsia="zh-CN"/>
              </w:rPr>
              <w:t>.10</w:t>
            </w:r>
            <w:r>
              <w:rPr>
                <w:rFonts w:hint="eastAsia" w:ascii="Times New Roman" w:hAnsi="Times New Roman" w:eastAsia="仿宋_GB2312"/>
                <w:kern w:val="0"/>
                <w:sz w:val="20"/>
                <w:szCs w:val="20"/>
                <w:lang w:val="en-US" w:eastAsia="zh-CN"/>
              </w:rPr>
              <w:t>-202</w:t>
            </w:r>
            <w:r>
              <w:rPr>
                <w:rFonts w:hint="eastAsia" w:eastAsia="仿宋_GB2312"/>
                <w:kern w:val="0"/>
                <w:sz w:val="20"/>
                <w:szCs w:val="20"/>
                <w:lang w:val="en-US" w:eastAsia="zh-CN"/>
              </w:rPr>
              <w:t>7</w:t>
            </w:r>
            <w:r>
              <w:rPr>
                <w:rFonts w:hint="eastAsia" w:ascii="Times New Roman" w:hAnsi="Times New Roman" w:eastAsia="仿宋_GB2312"/>
                <w:kern w:val="0"/>
                <w:sz w:val="20"/>
                <w:szCs w:val="20"/>
                <w:lang w:val="en-US" w:eastAsia="zh-CN"/>
              </w:rPr>
              <w:t>.</w:t>
            </w:r>
            <w:r>
              <w:rPr>
                <w:rFonts w:hint="eastAsia" w:eastAsia="仿宋_GB2312"/>
                <w:kern w:val="0"/>
                <w:sz w:val="20"/>
                <w:szCs w:val="20"/>
                <w:lang w:val="en-US" w:eastAsia="zh-CN"/>
              </w:rPr>
              <w:t>3</w:t>
            </w:r>
          </w:p>
        </w:tc>
        <w:tc>
          <w:tcPr>
            <w:tcW w:w="1388" w:type="dxa"/>
            <w:tcBorders>
              <w:tl2br w:val="nil"/>
              <w:tr2bl w:val="nil"/>
            </w:tcBorders>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2.32</w:t>
            </w:r>
          </w:p>
        </w:tc>
        <w:tc>
          <w:tcPr>
            <w:tcW w:w="1123" w:type="dxa"/>
            <w:tcBorders>
              <w:tl2br w:val="nil"/>
              <w:tr2bl w:val="nil"/>
            </w:tcBorders>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5.52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1" w:hRule="exact"/>
          <w:jc w:val="center"/>
        </w:trPr>
        <w:tc>
          <w:tcPr>
            <w:tcW w:w="1530" w:type="dxa"/>
            <w:tcBorders>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自然恢复期</w:t>
            </w:r>
          </w:p>
        </w:tc>
        <w:tc>
          <w:tcPr>
            <w:tcW w:w="1616" w:type="dxa"/>
            <w:tcBorders>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采场</w:t>
            </w:r>
          </w:p>
        </w:tc>
        <w:tc>
          <w:tcPr>
            <w:tcW w:w="1390" w:type="dxa"/>
            <w:tcBorders>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定量定性</w:t>
            </w:r>
          </w:p>
        </w:tc>
        <w:tc>
          <w:tcPr>
            <w:tcW w:w="1853" w:type="dxa"/>
            <w:tcBorders>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eastAsia="仿宋_GB2312"/>
                <w:kern w:val="0"/>
                <w:sz w:val="20"/>
                <w:szCs w:val="20"/>
                <w:lang w:val="en-US" w:eastAsia="zh-CN"/>
              </w:rPr>
              <w:t>2027.3-2030.3</w:t>
            </w:r>
          </w:p>
        </w:tc>
        <w:tc>
          <w:tcPr>
            <w:tcW w:w="1388" w:type="dxa"/>
            <w:tcBorders>
              <w:tl2br w:val="nil"/>
              <w:tr2bl w:val="nil"/>
            </w:tcBorders>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2.32</w:t>
            </w:r>
          </w:p>
        </w:tc>
        <w:tc>
          <w:tcPr>
            <w:tcW w:w="1123" w:type="dxa"/>
            <w:tcBorders>
              <w:tl2br w:val="nil"/>
              <w:tr2bl w:val="nil"/>
            </w:tcBorders>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3.0</w:t>
            </w:r>
          </w:p>
        </w:tc>
      </w:tr>
    </w:tbl>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4.3.3土壤侵蚀模数</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（1）原地表侵蚀模数的确定</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根据遥感解译，结合实地调查，</w:t>
      </w:r>
      <w:r>
        <w:rPr>
          <w:rFonts w:hint="eastAsia" w:ascii="Times New Roman" w:hAnsi="Times New Roman" w:eastAsia="仿宋_GB2312"/>
          <w:sz w:val="24"/>
          <w:lang w:eastAsia="zh-CN"/>
        </w:rPr>
        <w:t>项目区</w:t>
      </w:r>
      <w:r>
        <w:rPr>
          <w:rFonts w:ascii="Times New Roman" w:hAnsi="Times New Roman" w:eastAsia="仿宋_GB2312"/>
          <w:sz w:val="24"/>
        </w:rPr>
        <w:t>土壤侵蚀强度以</w:t>
      </w:r>
      <w:r>
        <w:rPr>
          <w:rFonts w:hint="eastAsia" w:ascii="Times New Roman" w:hAnsi="Times New Roman" w:eastAsia="仿宋_GB2312"/>
          <w:sz w:val="24"/>
          <w:lang w:eastAsia="zh-CN"/>
        </w:rPr>
        <w:t>中</w:t>
      </w:r>
      <w:r>
        <w:rPr>
          <w:rFonts w:ascii="Times New Roman" w:hAnsi="Times New Roman" w:eastAsia="仿宋_GB2312"/>
          <w:sz w:val="24"/>
        </w:rPr>
        <w:t>度侵蚀为主</w:t>
      </w:r>
      <w:r>
        <w:rPr>
          <w:rFonts w:hint="eastAsia" w:ascii="Times New Roman" w:hAnsi="Times New Roman" w:eastAsia="仿宋_GB2312"/>
          <w:sz w:val="24"/>
          <w:lang w:eastAsia="zh-CN"/>
        </w:rPr>
        <w:t>，</w:t>
      </w:r>
      <w:r>
        <w:rPr>
          <w:rFonts w:hint="eastAsia" w:ascii="Times New Roman" w:hAnsi="Times New Roman" w:eastAsia="仿宋_GB2312"/>
          <w:sz w:val="24"/>
        </w:rPr>
        <w:t>通过加权平均确定项目区原地貌土壤侵蚀模数为2700t/km².a</w:t>
      </w:r>
      <w:r>
        <w:rPr>
          <w:rFonts w:ascii="Times New Roman" w:hAnsi="Times New Roman" w:eastAsia="仿宋_GB2312"/>
          <w:sz w:val="24"/>
        </w:rPr>
        <w:t>。</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（2）扰动后土壤侵蚀模数</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工程的建设使项目区原地貌用途、形态发生了根本改变，形成不同类型、不同形式的再塑地貌。再塑地貌的水土流失特征在原地貌基础上随之发生了根本性的变化。参照其他工程经验，如果把原地貌的水土流失视为1的话，则再塑地貌土壤侵蚀模数是原地貌的1.4～3.0倍，当年弃土≤4.5倍。</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（3）自然恢复期土壤侵蚀模数的确定</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根据项目区的气候特征，确定自然恢复期为3年，自然恢复期扰动土壤侵蚀模数逐年递减，在第三年接近或等于原地貌土壤侵蚀模数。</w:t>
      </w:r>
    </w:p>
    <w:p>
      <w:pPr>
        <w:spacing w:line="360" w:lineRule="auto"/>
        <w:ind w:firstLine="480" w:firstLineChars="200"/>
        <w:rPr>
          <w:rFonts w:hint="eastAsia" w:ascii="Times New Roman" w:hAnsi="Times New Roman" w:eastAsia="仿宋_GB2312"/>
          <w:kern w:val="0"/>
          <w:sz w:val="24"/>
          <w:lang w:eastAsia="zh-CN"/>
        </w:rPr>
      </w:pPr>
      <w:r>
        <w:rPr>
          <w:rFonts w:ascii="Times New Roman" w:hAnsi="Times New Roman" w:eastAsia="仿宋_GB2312"/>
          <w:kern w:val="0"/>
          <w:sz w:val="24"/>
        </w:rPr>
        <w:t>各区域侵蚀模数详见表4</w:t>
      </w:r>
      <w:r>
        <w:rPr>
          <w:rFonts w:hint="eastAsia" w:ascii="Times New Roman" w:hAnsi="Times New Roman" w:eastAsia="仿宋_GB2312"/>
          <w:kern w:val="0"/>
          <w:sz w:val="24"/>
          <w:lang w:val="en-US" w:eastAsia="zh-CN"/>
        </w:rPr>
        <w:t>-</w:t>
      </w:r>
      <w:r>
        <w:rPr>
          <w:rFonts w:ascii="Times New Roman" w:hAnsi="Times New Roman" w:eastAsia="仿宋_GB2312"/>
          <w:kern w:val="0"/>
          <w:sz w:val="24"/>
        </w:rPr>
        <w:t>3</w:t>
      </w:r>
      <w:r>
        <w:rPr>
          <w:rFonts w:hint="eastAsia" w:ascii="Times New Roman" w:hAnsi="Times New Roman" w:eastAsia="仿宋_GB2312"/>
          <w:kern w:val="0"/>
          <w:sz w:val="24"/>
          <w:lang w:eastAsia="zh-CN"/>
        </w:rPr>
        <w:t>。</w:t>
      </w:r>
    </w:p>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表4</w:t>
      </w:r>
      <w:r>
        <w:rPr>
          <w:rFonts w:hint="eastAsia" w:ascii="Times New Roman" w:hAnsi="Times New Roman" w:eastAsia="仿宋_GB2312"/>
          <w:b/>
          <w:bCs/>
          <w:sz w:val="24"/>
          <w:lang w:val="en-US" w:eastAsia="zh-CN"/>
        </w:rPr>
        <w:t>-3</w:t>
      </w:r>
      <w:r>
        <w:rPr>
          <w:rFonts w:ascii="Times New Roman" w:hAnsi="Times New Roman" w:eastAsia="仿宋_GB2312"/>
          <w:b/>
          <w:bCs/>
          <w:sz w:val="24"/>
        </w:rPr>
        <w:t xml:space="preserve">  建设期、自然恢复期土壤侵蚀模数表</w:t>
      </w:r>
    </w:p>
    <w:tbl>
      <w:tblPr>
        <w:tblStyle w:val="2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433"/>
        <w:gridCol w:w="2758"/>
        <w:gridCol w:w="934"/>
        <w:gridCol w:w="1016"/>
        <w:gridCol w:w="1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3"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时段</w:t>
            </w:r>
          </w:p>
        </w:tc>
        <w:tc>
          <w:tcPr>
            <w:tcW w:w="1433"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预测区域</w:t>
            </w:r>
          </w:p>
        </w:tc>
        <w:tc>
          <w:tcPr>
            <w:tcW w:w="2758"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原地貌侵蚀模数（t/km</w:t>
            </w:r>
            <w:r>
              <w:rPr>
                <w:rFonts w:ascii="Times New Roman" w:hAnsi="Times New Roman" w:eastAsia="仿宋_GB2312"/>
                <w:b/>
                <w:kern w:val="0"/>
                <w:sz w:val="20"/>
                <w:szCs w:val="20"/>
                <w:vertAlign w:val="superscript"/>
              </w:rPr>
              <w:t>2</w:t>
            </w:r>
            <w:r>
              <w:rPr>
                <w:rFonts w:ascii="Times New Roman" w:hAnsi="Times New Roman" w:eastAsia="仿宋_GB2312"/>
                <w:b/>
                <w:kern w:val="0"/>
                <w:sz w:val="20"/>
                <w:szCs w:val="20"/>
              </w:rPr>
              <w:t>•a）</w:t>
            </w:r>
          </w:p>
        </w:tc>
        <w:tc>
          <w:tcPr>
            <w:tcW w:w="2968" w:type="dxa"/>
            <w:gridSpan w:val="3"/>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扰动后的侵蚀模数（t/km</w:t>
            </w:r>
            <w:r>
              <w:rPr>
                <w:rFonts w:ascii="Times New Roman" w:hAnsi="Times New Roman" w:eastAsia="仿宋_GB2312"/>
                <w:b/>
                <w:kern w:val="0"/>
                <w:sz w:val="20"/>
                <w:szCs w:val="20"/>
                <w:vertAlign w:val="superscript"/>
              </w:rPr>
              <w:t>2</w:t>
            </w:r>
            <w:r>
              <w:rPr>
                <w:rFonts w:ascii="Times New Roman" w:hAnsi="Times New Roman" w:eastAsia="仿宋_GB2312"/>
                <w:b/>
                <w:kern w:val="0"/>
                <w:sz w:val="20"/>
                <w:szCs w:val="20"/>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63" w:type="dxa"/>
            <w:vMerge w:val="restart"/>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建设期</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运行期</w:t>
            </w:r>
          </w:p>
        </w:tc>
        <w:tc>
          <w:tcPr>
            <w:tcW w:w="1433" w:type="dxa"/>
            <w:noWrap w:val="0"/>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加工场地</w:t>
            </w:r>
          </w:p>
        </w:tc>
        <w:tc>
          <w:tcPr>
            <w:tcW w:w="2758" w:type="dxa"/>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2700</w:t>
            </w:r>
          </w:p>
        </w:tc>
        <w:tc>
          <w:tcPr>
            <w:tcW w:w="2968" w:type="dxa"/>
            <w:gridSpan w:val="3"/>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3" w:type="dxa"/>
            <w:vMerge w:val="continue"/>
            <w:noWrap w:val="0"/>
            <w:vAlign w:val="center"/>
          </w:tcPr>
          <w:p>
            <w:pPr>
              <w:widowControl/>
              <w:spacing w:line="240" w:lineRule="exact"/>
              <w:jc w:val="center"/>
              <w:rPr>
                <w:rFonts w:ascii="Times New Roman" w:hAnsi="Times New Roman" w:eastAsia="仿宋_GB2312"/>
                <w:kern w:val="0"/>
                <w:sz w:val="20"/>
                <w:szCs w:val="20"/>
              </w:rPr>
            </w:pPr>
          </w:p>
        </w:tc>
        <w:tc>
          <w:tcPr>
            <w:tcW w:w="1433" w:type="dxa"/>
            <w:noWrap w:val="0"/>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场地道路</w:t>
            </w:r>
          </w:p>
        </w:tc>
        <w:tc>
          <w:tcPr>
            <w:tcW w:w="2758" w:type="dxa"/>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2700</w:t>
            </w:r>
          </w:p>
        </w:tc>
        <w:tc>
          <w:tcPr>
            <w:tcW w:w="2968" w:type="dxa"/>
            <w:gridSpan w:val="3"/>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3" w:type="dxa"/>
            <w:vMerge w:val="continue"/>
            <w:noWrap w:val="0"/>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433" w:type="dxa"/>
            <w:noWrap w:val="0"/>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采场</w:t>
            </w:r>
          </w:p>
        </w:tc>
        <w:tc>
          <w:tcPr>
            <w:tcW w:w="2758" w:type="dxa"/>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2700</w:t>
            </w:r>
          </w:p>
        </w:tc>
        <w:tc>
          <w:tcPr>
            <w:tcW w:w="2968" w:type="dxa"/>
            <w:gridSpan w:val="3"/>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3" w:type="dxa"/>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自然恢复期</w:t>
            </w:r>
          </w:p>
        </w:tc>
        <w:tc>
          <w:tcPr>
            <w:tcW w:w="1433" w:type="dxa"/>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采场</w:t>
            </w:r>
          </w:p>
        </w:tc>
        <w:tc>
          <w:tcPr>
            <w:tcW w:w="2758" w:type="dxa"/>
            <w:noWrap w:val="0"/>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2700</w:t>
            </w:r>
          </w:p>
        </w:tc>
        <w:tc>
          <w:tcPr>
            <w:tcW w:w="934" w:type="dxa"/>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3500</w:t>
            </w:r>
          </w:p>
        </w:tc>
        <w:tc>
          <w:tcPr>
            <w:tcW w:w="1016" w:type="dxa"/>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3</w:t>
            </w:r>
            <w:r>
              <w:rPr>
                <w:rFonts w:hint="eastAsia" w:eastAsia="仿宋_GB2312"/>
                <w:kern w:val="0"/>
                <w:sz w:val="20"/>
                <w:szCs w:val="20"/>
                <w:lang w:val="en-US" w:eastAsia="zh-CN"/>
              </w:rPr>
              <w:t>0</w:t>
            </w:r>
            <w:r>
              <w:rPr>
                <w:rFonts w:hint="eastAsia" w:ascii="Times New Roman" w:hAnsi="Times New Roman" w:eastAsia="仿宋_GB2312"/>
                <w:kern w:val="0"/>
                <w:sz w:val="20"/>
                <w:szCs w:val="20"/>
                <w:lang w:val="en-US" w:eastAsia="zh-CN"/>
              </w:rPr>
              <w:t>00</w:t>
            </w:r>
          </w:p>
        </w:tc>
        <w:tc>
          <w:tcPr>
            <w:tcW w:w="1018" w:type="dxa"/>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2750</w:t>
            </w:r>
          </w:p>
        </w:tc>
      </w:tr>
    </w:tbl>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4.3.4预测结果</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1、新增土壤流失量预测</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根据地形条件和本工程建设的特点，调查掌握工程建设对地表、植被的扰动情况，了解堆置物的组成、堆放位置和形式，对于本工程建设中造成的新增侵蚀量，采用类比法进行预测。</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通过调查和分析有关资料，确定不同时期、不同地段、不同类型的土壤侵蚀模数，作为计算新增水蚀量的依据。采用如下模型预测工程项目造成的新增水土流失量：</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在调查项目区水土流失现状的基础上，结合工程建设破坏水土保持面积，分析各单元区域的水土流失特点，预测项目新增土壤流失量。</w:t>
      </w:r>
    </w:p>
    <w:p>
      <w:pPr>
        <w:spacing w:line="360" w:lineRule="auto"/>
        <w:ind w:firstLine="480" w:firstLineChars="200"/>
        <w:jc w:val="left"/>
        <w:rPr>
          <w:rFonts w:ascii="Times New Roman" w:hAnsi="Times New Roman" w:eastAsia="仿宋_GB2312"/>
          <w:kern w:val="0"/>
          <w:sz w:val="24"/>
          <w:szCs w:val="24"/>
        </w:rPr>
      </w:pPr>
      <w:r>
        <w:rPr>
          <w:rFonts w:eastAsia="宋体"/>
          <w:color w:val="0000FF"/>
          <w:sz w:val="24"/>
        </w:rPr>
        <w:object>
          <v:shape id="_x0000_i1025" o:spt="75" type="#_x0000_t75" style="height:35pt;width:132pt;" o:ole="t" filled="f" o:preferrelative="t" stroked="f" coordsize="21600,21600">
            <v:path/>
            <v:fill on="f" alignshape="1" focussize="0,0"/>
            <v:stroke on="f"/>
            <v:imagedata r:id="rId9" o:title=""/>
            <o:lock v:ext="edit" aspectratio="t"/>
            <w10:wrap type="none"/>
            <w10:anchorlock/>
          </v:shape>
          <o:OLEObject Type="Embed" ProgID="Equation.3" ShapeID="_x0000_i1025" DrawAspect="Content" ObjectID="_1468075725" r:id="rId8">
            <o:LockedField>false</o:LockedField>
          </o:OLEObject>
        </w:object>
      </w:r>
      <w:r>
        <w:rPr>
          <w:rFonts w:ascii="Times New Roman" w:hAnsi="Times New Roman" w:eastAsia="仿宋_GB2312"/>
          <w:kern w:val="0"/>
          <w:sz w:val="24"/>
          <w:szCs w:val="24"/>
        </w:rPr>
        <w:t xml:space="preserve"> </w:t>
      </w:r>
    </w:p>
    <w:p>
      <w:pPr>
        <w:spacing w:line="360" w:lineRule="auto"/>
        <w:ind w:firstLine="480" w:firstLineChars="200"/>
        <w:jc w:val="left"/>
        <w:rPr>
          <w:rFonts w:eastAsia="宋体"/>
          <w:color w:val="0000FF"/>
          <w:sz w:val="24"/>
        </w:rPr>
      </w:pPr>
      <w:r>
        <w:rPr>
          <w:rFonts w:eastAsia="宋体"/>
          <w:color w:val="0000FF"/>
          <w:sz w:val="24"/>
        </w:rPr>
        <w:object>
          <v:shape id="_x0000_i1026" o:spt="75" type="#_x0000_t75" style="height:35pt;width:148pt;" o:ole="t" filled="f" o:preferrelative="t" stroked="f" coordsize="21600,21600">
            <v:path/>
            <v:fill on="f" alignshape="1" focussize="0,0"/>
            <v:stroke on="f"/>
            <v:imagedata r:id="rId11" o:title=""/>
            <o:lock v:ext="edit" aspectratio="t"/>
            <w10:wrap type="none"/>
            <w10:anchorlock/>
          </v:shape>
          <o:OLEObject Type="Embed" ProgID="Equation.3" ShapeID="_x0000_i1026" DrawAspect="Content" ObjectID="_1468075726" r:id="rId10">
            <o:LockedField>false</o:LockedField>
          </o:OLEObject>
        </w:objec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 xml:space="preserve">式中： </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i/>
          <w:iCs/>
          <w:kern w:val="0"/>
          <w:sz w:val="24"/>
          <w:szCs w:val="24"/>
        </w:rPr>
        <w:t>W</w:t>
      </w:r>
      <w:r>
        <w:rPr>
          <w:rFonts w:ascii="Times New Roman" w:hAnsi="Times New Roman" w:eastAsia="仿宋_GB2312"/>
          <w:kern w:val="0"/>
          <w:sz w:val="24"/>
          <w:szCs w:val="24"/>
        </w:rPr>
        <w:t>——土壤流失量，t；</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 xml:space="preserve">       Δ</w:t>
      </w:r>
      <w:r>
        <w:rPr>
          <w:rFonts w:ascii="Times New Roman" w:hAnsi="Times New Roman" w:eastAsia="仿宋_GB2312"/>
          <w:i/>
          <w:iCs/>
          <w:kern w:val="0"/>
          <w:sz w:val="24"/>
          <w:szCs w:val="24"/>
        </w:rPr>
        <w:t>W</w:t>
      </w:r>
      <w:r>
        <w:rPr>
          <w:rFonts w:ascii="Times New Roman" w:hAnsi="Times New Roman" w:eastAsia="仿宋_GB2312"/>
          <w:kern w:val="0"/>
          <w:sz w:val="24"/>
          <w:szCs w:val="24"/>
        </w:rPr>
        <w:t>——新增土壤流失量，t；</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 xml:space="preserve"> </w:t>
      </w:r>
      <w:r>
        <w:rPr>
          <w:rFonts w:ascii="Times New Roman" w:hAnsi="Times New Roman" w:eastAsia="仿宋_GB2312"/>
          <w:i/>
          <w:iCs/>
          <w:kern w:val="0"/>
          <w:sz w:val="24"/>
          <w:szCs w:val="24"/>
        </w:rPr>
        <w:t xml:space="preserve">i </w:t>
      </w:r>
      <w:r>
        <w:rPr>
          <w:rFonts w:ascii="Times New Roman" w:hAnsi="Times New Roman" w:eastAsia="仿宋_GB2312"/>
          <w:kern w:val="0"/>
          <w:sz w:val="24"/>
          <w:szCs w:val="24"/>
        </w:rPr>
        <w:t>——预测单元，1、2、3、….，n-1，n；</w:t>
      </w:r>
    </w:p>
    <w:p>
      <w:pPr>
        <w:spacing w:line="360" w:lineRule="auto"/>
        <w:ind w:firstLine="480" w:firstLineChars="200"/>
        <w:jc w:val="left"/>
        <w:rPr>
          <w:rFonts w:ascii="Times New Roman" w:hAnsi="Times New Roman" w:eastAsia="仿宋_GB2312"/>
          <w:i/>
          <w:iCs/>
          <w:kern w:val="0"/>
          <w:sz w:val="24"/>
          <w:szCs w:val="24"/>
        </w:rPr>
      </w:pPr>
      <w:r>
        <w:rPr>
          <w:rFonts w:ascii="Times New Roman" w:hAnsi="Times New Roman" w:eastAsia="仿宋_GB2312"/>
          <w:i/>
          <w:iCs/>
          <w:kern w:val="0"/>
          <w:sz w:val="24"/>
          <w:szCs w:val="24"/>
        </w:rPr>
        <w:t>k</w:t>
      </w:r>
      <w:r>
        <w:rPr>
          <w:rFonts w:ascii="Times New Roman" w:hAnsi="Times New Roman" w:eastAsia="仿宋_GB2312"/>
          <w:kern w:val="0"/>
          <w:sz w:val="24"/>
          <w:szCs w:val="24"/>
        </w:rPr>
        <w:t>——预测时段，1、2、3，指建设期(含施工准备期)、自然恢复期、运行期。</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 xml:space="preserve">       F</w:t>
      </w:r>
      <w:r>
        <w:rPr>
          <w:rFonts w:ascii="Times New Roman" w:hAnsi="Times New Roman" w:eastAsia="仿宋_GB2312"/>
          <w:i/>
          <w:iCs/>
          <w:kern w:val="0"/>
          <w:sz w:val="24"/>
          <w:szCs w:val="24"/>
          <w:vertAlign w:val="subscript"/>
        </w:rPr>
        <w:t xml:space="preserve">ik </w:t>
      </w:r>
      <w:r>
        <w:rPr>
          <w:rFonts w:ascii="Times New Roman" w:hAnsi="Times New Roman" w:eastAsia="仿宋_GB2312"/>
          <w:kern w:val="0"/>
          <w:sz w:val="24"/>
          <w:szCs w:val="24"/>
        </w:rPr>
        <w:t>——某时段某预测单元的预测面积，km</w:t>
      </w:r>
      <w:r>
        <w:rPr>
          <w:rFonts w:ascii="Times New Roman" w:hAnsi="Times New Roman" w:eastAsia="仿宋_GB2312"/>
          <w:kern w:val="0"/>
          <w:sz w:val="24"/>
          <w:szCs w:val="24"/>
          <w:vertAlign w:val="superscript"/>
        </w:rPr>
        <w:t>2</w:t>
      </w:r>
      <w:r>
        <w:rPr>
          <w:rFonts w:ascii="Times New Roman" w:hAnsi="Times New Roman" w:eastAsia="仿宋_GB2312"/>
          <w:kern w:val="0"/>
          <w:sz w:val="24"/>
          <w:szCs w:val="24"/>
        </w:rPr>
        <w:t>；</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 xml:space="preserve">       </w:t>
      </w:r>
      <w:r>
        <w:rPr>
          <w:rFonts w:ascii="Times New Roman" w:hAnsi="Times New Roman" w:eastAsia="仿宋_GB2312"/>
          <w:i/>
          <w:iCs/>
          <w:kern w:val="0"/>
          <w:sz w:val="24"/>
          <w:szCs w:val="24"/>
        </w:rPr>
        <w:t>M</w:t>
      </w:r>
      <w:r>
        <w:rPr>
          <w:rFonts w:ascii="Times New Roman" w:hAnsi="Times New Roman" w:eastAsia="仿宋_GB2312"/>
          <w:i/>
          <w:iCs/>
          <w:kern w:val="0"/>
          <w:sz w:val="24"/>
          <w:szCs w:val="24"/>
          <w:vertAlign w:val="subscript"/>
        </w:rPr>
        <w:t>ik</w:t>
      </w:r>
      <w:r>
        <w:rPr>
          <w:rFonts w:ascii="Times New Roman" w:hAnsi="Times New Roman" w:eastAsia="仿宋_GB2312"/>
          <w:kern w:val="0"/>
          <w:sz w:val="24"/>
          <w:szCs w:val="24"/>
        </w:rPr>
        <w:t>——某时段某预测单元的土壤侵蚀模数，t/（km</w:t>
      </w:r>
      <w:r>
        <w:rPr>
          <w:rFonts w:ascii="Times New Roman" w:hAnsi="Times New Roman" w:eastAsia="仿宋_GB2312"/>
          <w:kern w:val="0"/>
          <w:sz w:val="24"/>
          <w:szCs w:val="24"/>
          <w:vertAlign w:val="superscript"/>
        </w:rPr>
        <w:t>2</w:t>
      </w:r>
      <w:r>
        <w:rPr>
          <w:rFonts w:ascii="Times New Roman" w:hAnsi="Times New Roman" w:eastAsia="仿宋_GB2312"/>
          <w:kern w:val="0"/>
          <w:sz w:val="24"/>
          <w:szCs w:val="24"/>
        </w:rPr>
        <w:t>·a）；</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i/>
          <w:iCs/>
          <w:kern w:val="0"/>
          <w:sz w:val="24"/>
          <w:szCs w:val="24"/>
        </w:rPr>
        <w:t>T</w:t>
      </w:r>
      <w:r>
        <w:rPr>
          <w:rFonts w:ascii="Times New Roman" w:hAnsi="Times New Roman" w:eastAsia="仿宋_GB2312"/>
          <w:i/>
          <w:iCs/>
          <w:kern w:val="0"/>
          <w:sz w:val="24"/>
          <w:szCs w:val="24"/>
          <w:vertAlign w:val="subscript"/>
        </w:rPr>
        <w:t>ik</w:t>
      </w:r>
      <w:r>
        <w:rPr>
          <w:rFonts w:ascii="Times New Roman" w:hAnsi="Times New Roman" w:eastAsia="仿宋_GB2312"/>
          <w:kern w:val="0"/>
          <w:sz w:val="24"/>
          <w:szCs w:val="24"/>
        </w:rPr>
        <w:t>——某时段某预测单元的预测时间（扰动时段），a；</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W</w:t>
      </w:r>
      <w:r>
        <w:rPr>
          <w:rFonts w:ascii="Times New Roman" w:hAnsi="Times New Roman" w:eastAsia="仿宋_GB2312"/>
          <w:kern w:val="0"/>
          <w:sz w:val="24"/>
          <w:szCs w:val="24"/>
          <w:vertAlign w:val="subscript"/>
        </w:rPr>
        <w:t>流失</w:t>
      </w:r>
      <w:r>
        <w:rPr>
          <w:rFonts w:ascii="Times New Roman" w:hAnsi="Times New Roman" w:eastAsia="仿宋_GB2312"/>
          <w:kern w:val="0"/>
          <w:sz w:val="24"/>
          <w:szCs w:val="24"/>
        </w:rPr>
        <w:t>——工程扰动后的土壤流失量，t；</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W</w:t>
      </w:r>
      <w:r>
        <w:rPr>
          <w:rFonts w:ascii="Times New Roman" w:hAnsi="Times New Roman" w:eastAsia="仿宋_GB2312"/>
          <w:kern w:val="0"/>
          <w:sz w:val="24"/>
          <w:szCs w:val="24"/>
          <w:vertAlign w:val="subscript"/>
        </w:rPr>
        <w:t>背景</w:t>
      </w:r>
      <w:r>
        <w:rPr>
          <w:rFonts w:ascii="Times New Roman" w:hAnsi="Times New Roman" w:eastAsia="仿宋_GB2312"/>
          <w:kern w:val="0"/>
          <w:sz w:val="24"/>
          <w:szCs w:val="24"/>
        </w:rPr>
        <w:t>——工程原地貌土壤流失量，t。</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根据本标准第 4. 5. 3 条（F,M,T,4.5.3  土壤流失量预测按下式计算。当预测单元土壤侵蚀强度恢复到原地貌土壤侵蚀模数以下时,不再计算。</w:t>
      </w:r>
    </w:p>
    <w:p>
      <w:pPr>
        <w:spacing w:line="360" w:lineRule="auto"/>
        <w:ind w:firstLine="480" w:firstLineChars="200"/>
        <w:jc w:val="left"/>
        <w:rPr>
          <w:rFonts w:ascii="Times New Roman" w:hAnsi="Times New Roman" w:eastAsia="仿宋_GB2312"/>
          <w:b/>
          <w:kern w:val="0"/>
          <w:sz w:val="24"/>
          <w:szCs w:val="24"/>
          <w:highlight w:val="yellow"/>
        </w:rPr>
      </w:pPr>
      <w:r>
        <w:rPr>
          <w:rFonts w:ascii="Times New Roman" w:hAnsi="Times New Roman" w:eastAsia="仿宋_GB2312"/>
          <w:sz w:val="24"/>
          <w:szCs w:val="24"/>
        </w:rPr>
        <w:drawing>
          <wp:inline distT="0" distB="0" distL="114300" distR="114300">
            <wp:extent cx="1600200" cy="438150"/>
            <wp:effectExtent l="0" t="0" r="0" b="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2"/>
                    <a:stretch>
                      <a:fillRect/>
                    </a:stretch>
                  </pic:blipFill>
                  <pic:spPr>
                    <a:xfrm>
                      <a:off x="0" y="0"/>
                      <a:ext cx="1600200" cy="438150"/>
                    </a:xfrm>
                    <a:prstGeom prst="rect">
                      <a:avLst/>
                    </a:prstGeom>
                    <a:noFill/>
                    <a:ln>
                      <a:noFill/>
                    </a:ln>
                  </pic:spPr>
                </pic:pic>
              </a:graphicData>
            </a:graphic>
          </wp:inline>
        </w:drawing>
      </w:r>
    </w:p>
    <w:p>
      <w:pPr>
        <w:spacing w:line="360" w:lineRule="auto"/>
        <w:ind w:firstLine="480" w:firstLineChars="200"/>
        <w:jc w:val="left"/>
        <w:rPr>
          <w:rFonts w:ascii="Times New Roman" w:hAnsi="Times New Roman" w:eastAsia="仿宋_GB2312"/>
          <w:kern w:val="0"/>
          <w:sz w:val="24"/>
          <w:szCs w:val="24"/>
          <w:lang w:val="de-DE"/>
        </w:rPr>
      </w:pPr>
      <w:r>
        <w:rPr>
          <w:rFonts w:ascii="Times New Roman" w:hAnsi="Times New Roman" w:eastAsia="仿宋_GB2312"/>
          <w:kern w:val="0"/>
          <w:sz w:val="24"/>
          <w:szCs w:val="24"/>
        </w:rPr>
        <w:t>式中</w:t>
      </w:r>
      <w:r>
        <w:rPr>
          <w:rFonts w:ascii="Times New Roman" w:hAnsi="Times New Roman" w:eastAsia="仿宋_GB2312"/>
          <w:kern w:val="0"/>
          <w:sz w:val="24"/>
          <w:szCs w:val="24"/>
          <w:lang w:val="de-DE"/>
        </w:rPr>
        <w:t>:W</w:t>
      </w:r>
      <w:r>
        <w:rPr>
          <w:rFonts w:ascii="Times New Roman" w:hAnsi="Times New Roman" w:eastAsia="仿宋_GB2312"/>
          <w:kern w:val="0"/>
          <w:sz w:val="24"/>
          <w:szCs w:val="24"/>
        </w:rPr>
        <w:t>一土壤流失量</w:t>
      </w:r>
      <w:r>
        <w:rPr>
          <w:rFonts w:ascii="Times New Roman" w:hAnsi="Times New Roman" w:eastAsia="仿宋_GB2312"/>
          <w:kern w:val="0"/>
          <w:sz w:val="24"/>
          <w:szCs w:val="24"/>
          <w:lang w:val="de-DE"/>
        </w:rPr>
        <w:t>(t);</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j一预测时段， j =1.2,即指施工期(含施工准备期)和自然恢复期两个时段;</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i -一预测单元,i=1,2,3...n-1.n;</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F,--第j预测时段、第i预测单元的面积(km</w:t>
      </w:r>
      <w:r>
        <w:rPr>
          <w:rFonts w:ascii="Times New Roman" w:hAnsi="Times New Roman" w:eastAsia="仿宋_GB2312"/>
          <w:kern w:val="0"/>
          <w:sz w:val="24"/>
          <w:szCs w:val="24"/>
          <w:vertAlign w:val="superscript"/>
        </w:rPr>
        <w:t>2</w:t>
      </w:r>
      <w:r>
        <w:rPr>
          <w:rFonts w:ascii="Times New Roman" w:hAnsi="Times New Roman" w:eastAsia="仿宋_GB2312"/>
          <w:kern w:val="0"/>
          <w:sz w:val="24"/>
          <w:szCs w:val="24"/>
        </w:rPr>
        <w:t>);</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M.,-一第j预测时段、第i预测单元的土壤侵蚀模数[t/(km</w:t>
      </w:r>
      <w:r>
        <w:rPr>
          <w:rFonts w:ascii="Times New Roman" w:hAnsi="Times New Roman" w:eastAsia="仿宋_GB2312"/>
          <w:kern w:val="0"/>
          <w:sz w:val="24"/>
          <w:szCs w:val="24"/>
          <w:vertAlign w:val="superscript"/>
        </w:rPr>
        <w:t>2</w:t>
      </w:r>
      <w:r>
        <w:rPr>
          <w:rFonts w:ascii="Times New Roman" w:hAnsi="Times New Roman" w:eastAsia="仿宋_GB2312"/>
          <w:kern w:val="0"/>
          <w:sz w:val="24"/>
          <w:szCs w:val="24"/>
        </w:rPr>
        <w:t>.a)];</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T,一-第j预测时段、第i预测单元的预测时段长(a)。</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2、预测结果</w:t>
      </w:r>
    </w:p>
    <w:p>
      <w:pPr>
        <w:autoSpaceDE w:val="0"/>
        <w:autoSpaceDN w:val="0"/>
        <w:adjustRightInd w:val="0"/>
        <w:spacing w:line="360" w:lineRule="auto"/>
        <w:ind w:firstLine="480"/>
        <w:rPr>
          <w:rFonts w:ascii="Times New Roman" w:hAnsi="Times New Roman" w:eastAsia="仿宋_GB2312"/>
          <w:sz w:val="24"/>
        </w:rPr>
      </w:pPr>
      <w:r>
        <w:rPr>
          <w:rFonts w:ascii="Times New Roman" w:hAnsi="Times New Roman" w:eastAsia="仿宋_GB2312"/>
          <w:sz w:val="24"/>
        </w:rPr>
        <w:t>（1）</w:t>
      </w:r>
      <w:r>
        <w:rPr>
          <w:rFonts w:hint="eastAsia" w:ascii="Times New Roman" w:hAnsi="Times New Roman" w:eastAsia="仿宋_GB2312"/>
          <w:sz w:val="24"/>
        </w:rPr>
        <w:t>建设期</w:t>
      </w:r>
      <w:r>
        <w:rPr>
          <w:rFonts w:ascii="Times New Roman" w:hAnsi="Times New Roman" w:eastAsia="仿宋_GB2312"/>
          <w:sz w:val="24"/>
        </w:rPr>
        <w:t>土壤流失量</w:t>
      </w:r>
    </w:p>
    <w:p>
      <w:pPr>
        <w:autoSpaceDE w:val="0"/>
        <w:autoSpaceDN w:val="0"/>
        <w:adjustRightInd w:val="0"/>
        <w:spacing w:line="360" w:lineRule="auto"/>
        <w:ind w:firstLine="480"/>
        <w:rPr>
          <w:rFonts w:ascii="Times New Roman" w:hAnsi="Times New Roman" w:eastAsia="仿宋_GB2312"/>
          <w:sz w:val="24"/>
        </w:rPr>
      </w:pPr>
      <w:r>
        <w:rPr>
          <w:rFonts w:hint="eastAsia" w:ascii="Times New Roman" w:hAnsi="Times New Roman" w:eastAsia="仿宋_GB2312"/>
          <w:sz w:val="24"/>
        </w:rPr>
        <w:t>经计算工程建设期原地貌土壤流失量为</w:t>
      </w:r>
      <w:r>
        <w:rPr>
          <w:rFonts w:hint="eastAsia" w:eastAsia="仿宋_GB2312"/>
          <w:sz w:val="24"/>
          <w:lang w:val="en-US" w:eastAsia="zh-CN"/>
        </w:rPr>
        <w:t>15.93</w:t>
      </w:r>
      <w:r>
        <w:rPr>
          <w:rFonts w:hint="eastAsia" w:ascii="Times New Roman" w:hAnsi="Times New Roman" w:eastAsia="仿宋_GB2312"/>
          <w:sz w:val="24"/>
        </w:rPr>
        <w:t>t，扰动后土壤流失量为</w:t>
      </w:r>
      <w:r>
        <w:rPr>
          <w:rFonts w:hint="eastAsia" w:eastAsia="仿宋_GB2312"/>
          <w:sz w:val="24"/>
          <w:lang w:val="en-US" w:eastAsia="zh-CN"/>
        </w:rPr>
        <w:t>20.65</w:t>
      </w:r>
      <w:r>
        <w:rPr>
          <w:rFonts w:hint="eastAsia" w:ascii="Times New Roman" w:hAnsi="Times New Roman" w:eastAsia="仿宋_GB2312"/>
          <w:sz w:val="24"/>
        </w:rPr>
        <w:t>t，新增土壤流失量为</w:t>
      </w:r>
      <w:r>
        <w:rPr>
          <w:rFonts w:hint="eastAsia" w:eastAsia="仿宋_GB2312"/>
          <w:sz w:val="24"/>
          <w:lang w:val="en-US" w:eastAsia="zh-CN"/>
        </w:rPr>
        <w:t>4.72</w:t>
      </w:r>
      <w:r>
        <w:rPr>
          <w:rFonts w:hint="eastAsia" w:ascii="Times New Roman" w:hAnsi="Times New Roman" w:eastAsia="仿宋_GB2312"/>
          <w:sz w:val="24"/>
        </w:rPr>
        <w:t>t</w:t>
      </w:r>
      <w:r>
        <w:rPr>
          <w:rFonts w:ascii="Times New Roman" w:hAnsi="Times New Roman" w:eastAsia="仿宋_GB2312"/>
          <w:sz w:val="24"/>
        </w:rPr>
        <w:t>。详见表4</w:t>
      </w:r>
      <w:r>
        <w:rPr>
          <w:rFonts w:hint="eastAsia" w:ascii="Times New Roman" w:hAnsi="Times New Roman" w:eastAsia="仿宋_GB2312"/>
          <w:sz w:val="24"/>
          <w:lang w:val="en-US" w:eastAsia="zh-CN"/>
        </w:rPr>
        <w:t>-4</w:t>
      </w:r>
      <w:r>
        <w:rPr>
          <w:rFonts w:ascii="Times New Roman" w:hAnsi="Times New Roman" w:eastAsia="仿宋_GB2312"/>
          <w:sz w:val="24"/>
        </w:rPr>
        <w:t>。</w:t>
      </w:r>
    </w:p>
    <w:p>
      <w:pPr>
        <w:autoSpaceDE w:val="0"/>
        <w:autoSpaceDN w:val="0"/>
        <w:adjustRightInd w:val="0"/>
        <w:spacing w:line="360" w:lineRule="auto"/>
        <w:ind w:firstLine="480"/>
        <w:rPr>
          <w:rFonts w:ascii="Times New Roman" w:hAnsi="Times New Roman" w:eastAsia="仿宋_GB2312"/>
          <w:sz w:val="24"/>
        </w:rPr>
      </w:pPr>
      <w:r>
        <w:rPr>
          <w:rFonts w:ascii="Times New Roman" w:hAnsi="Times New Roman" w:eastAsia="仿宋_GB2312"/>
          <w:sz w:val="24"/>
        </w:rPr>
        <w:t>（</w:t>
      </w:r>
      <w:r>
        <w:rPr>
          <w:rFonts w:hint="eastAsia" w:eastAsia="仿宋_GB2312"/>
          <w:sz w:val="24"/>
          <w:lang w:val="en-US" w:eastAsia="zh-CN"/>
        </w:rPr>
        <w:t>5</w:t>
      </w:r>
      <w:r>
        <w:rPr>
          <w:rFonts w:ascii="Times New Roman" w:hAnsi="Times New Roman" w:eastAsia="仿宋_GB2312"/>
          <w:sz w:val="24"/>
        </w:rPr>
        <w:t>）</w:t>
      </w:r>
      <w:r>
        <w:rPr>
          <w:rFonts w:hint="eastAsia" w:eastAsia="仿宋_GB2312"/>
          <w:sz w:val="24"/>
          <w:lang w:eastAsia="zh-CN"/>
        </w:rPr>
        <w:t>运行期</w:t>
      </w:r>
      <w:r>
        <w:rPr>
          <w:rFonts w:ascii="Times New Roman" w:hAnsi="Times New Roman" w:eastAsia="仿宋_GB2312"/>
          <w:sz w:val="24"/>
        </w:rPr>
        <w:t>土壤流失量</w:t>
      </w:r>
    </w:p>
    <w:p>
      <w:pPr>
        <w:autoSpaceDE w:val="0"/>
        <w:autoSpaceDN w:val="0"/>
        <w:adjustRightInd w:val="0"/>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经计算工程</w:t>
      </w:r>
      <w:r>
        <w:rPr>
          <w:rFonts w:hint="eastAsia" w:eastAsia="仿宋_GB2312"/>
          <w:sz w:val="24"/>
          <w:lang w:eastAsia="zh-CN"/>
        </w:rPr>
        <w:t>运行期</w:t>
      </w:r>
      <w:r>
        <w:rPr>
          <w:rFonts w:hint="eastAsia" w:ascii="Times New Roman" w:hAnsi="Times New Roman" w:eastAsia="仿宋_GB2312"/>
          <w:sz w:val="24"/>
        </w:rPr>
        <w:t>原地貌土壤流失量为</w:t>
      </w:r>
      <w:r>
        <w:rPr>
          <w:rFonts w:hint="eastAsia" w:eastAsia="仿宋_GB2312"/>
          <w:sz w:val="24"/>
          <w:lang w:val="en-US" w:eastAsia="zh-CN"/>
        </w:rPr>
        <w:t>345.77</w:t>
      </w:r>
      <w:r>
        <w:rPr>
          <w:rFonts w:hint="eastAsia" w:ascii="Times New Roman" w:hAnsi="Times New Roman" w:eastAsia="仿宋_GB2312"/>
          <w:sz w:val="24"/>
        </w:rPr>
        <w:t>t，扰动后土壤流失量为</w:t>
      </w:r>
      <w:r>
        <w:rPr>
          <w:rFonts w:hint="eastAsia" w:eastAsia="仿宋_GB2312"/>
          <w:sz w:val="24"/>
          <w:lang w:val="en-US" w:eastAsia="zh-CN"/>
        </w:rPr>
        <w:t>448.22</w:t>
      </w:r>
      <w:r>
        <w:rPr>
          <w:rFonts w:hint="eastAsia" w:ascii="Times New Roman" w:hAnsi="Times New Roman" w:eastAsia="仿宋_GB2312"/>
          <w:sz w:val="24"/>
        </w:rPr>
        <w:t>t，新增土壤流失量为</w:t>
      </w:r>
      <w:r>
        <w:rPr>
          <w:rFonts w:hint="eastAsia" w:eastAsia="仿宋_GB2312"/>
          <w:sz w:val="24"/>
          <w:lang w:val="en-US" w:eastAsia="zh-CN"/>
        </w:rPr>
        <w:t>102.45</w:t>
      </w:r>
      <w:r>
        <w:rPr>
          <w:rFonts w:hint="eastAsia" w:ascii="Times New Roman" w:hAnsi="Times New Roman" w:eastAsia="仿宋_GB2312"/>
          <w:sz w:val="24"/>
        </w:rPr>
        <w:t>t</w:t>
      </w:r>
      <w:r>
        <w:rPr>
          <w:rFonts w:ascii="Times New Roman" w:hAnsi="Times New Roman" w:eastAsia="仿宋_GB2312"/>
          <w:sz w:val="24"/>
        </w:rPr>
        <w:t>。详见表4</w:t>
      </w:r>
      <w:r>
        <w:rPr>
          <w:rFonts w:hint="eastAsia" w:ascii="Times New Roman" w:hAnsi="Times New Roman" w:eastAsia="仿宋_GB2312"/>
          <w:sz w:val="24"/>
          <w:lang w:val="en-US" w:eastAsia="zh-CN"/>
        </w:rPr>
        <w:t>-4</w:t>
      </w:r>
      <w:r>
        <w:rPr>
          <w:rFonts w:ascii="Times New Roman" w:hAnsi="Times New Roman" w:eastAsia="仿宋_GB2312"/>
          <w:sz w:val="24"/>
        </w:rPr>
        <w:t>。</w:t>
      </w:r>
    </w:p>
    <w:p>
      <w:pPr>
        <w:pStyle w:val="2"/>
        <w:rPr>
          <w:rFonts w:ascii="Times New Roman" w:hAnsi="Times New Roman" w:eastAsia="仿宋_GB2312" w:cs="Times New Roman"/>
          <w:spacing w:val="0"/>
          <w:kern w:val="2"/>
          <w:sz w:val="24"/>
          <w:szCs w:val="22"/>
          <w:lang w:val="en-US" w:eastAsia="zh-CN" w:bidi="ar-SA"/>
        </w:rPr>
      </w:pPr>
      <w:r>
        <w:rPr>
          <w:rFonts w:ascii="Times New Roman" w:hAnsi="Times New Roman" w:eastAsia="仿宋_GB2312"/>
          <w:sz w:val="24"/>
        </w:rPr>
        <w:t>（</w:t>
      </w:r>
      <w:r>
        <w:rPr>
          <w:rFonts w:hint="eastAsia" w:eastAsia="仿宋_GB2312" w:cs="Times New Roman"/>
          <w:spacing w:val="0"/>
          <w:kern w:val="2"/>
          <w:sz w:val="24"/>
          <w:szCs w:val="22"/>
          <w:lang w:val="en-US" w:eastAsia="zh-CN" w:bidi="ar-SA"/>
        </w:rPr>
        <w:t>3</w:t>
      </w:r>
      <w:r>
        <w:rPr>
          <w:rFonts w:ascii="Times New Roman" w:hAnsi="Times New Roman" w:eastAsia="仿宋_GB2312" w:cs="Times New Roman"/>
          <w:spacing w:val="0"/>
          <w:kern w:val="2"/>
          <w:sz w:val="24"/>
          <w:szCs w:val="22"/>
          <w:lang w:val="en-US" w:eastAsia="zh-CN" w:bidi="ar-SA"/>
        </w:rPr>
        <w:t>）</w:t>
      </w:r>
      <w:r>
        <w:rPr>
          <w:rFonts w:hint="eastAsia" w:ascii="Times New Roman" w:hAnsi="Times New Roman" w:eastAsia="仿宋_GB2312"/>
          <w:sz w:val="24"/>
        </w:rPr>
        <w:t>自然恢复期</w:t>
      </w:r>
      <w:r>
        <w:rPr>
          <w:rFonts w:ascii="Times New Roman" w:hAnsi="Times New Roman" w:eastAsia="仿宋_GB2312" w:cs="Times New Roman"/>
          <w:spacing w:val="0"/>
          <w:kern w:val="2"/>
          <w:sz w:val="24"/>
          <w:szCs w:val="22"/>
          <w:lang w:val="en-US" w:eastAsia="zh-CN" w:bidi="ar-SA"/>
        </w:rPr>
        <w:t>土壤流失量</w:t>
      </w:r>
    </w:p>
    <w:p>
      <w:pPr>
        <w:autoSpaceDE w:val="0"/>
        <w:autoSpaceDN w:val="0"/>
        <w:adjustRightInd w:val="0"/>
        <w:spacing w:line="360" w:lineRule="auto"/>
        <w:ind w:firstLine="480" w:firstLineChars="200"/>
        <w:rPr>
          <w:rFonts w:hint="eastAsia" w:ascii="Times New Roman" w:hAnsi="Times New Roman" w:eastAsia="仿宋_GB2312"/>
          <w:sz w:val="24"/>
        </w:rPr>
      </w:pPr>
      <w:r>
        <w:rPr>
          <w:rFonts w:hint="eastAsia" w:ascii="Times New Roman" w:hAnsi="Times New Roman" w:eastAsia="仿宋_GB2312"/>
          <w:sz w:val="24"/>
        </w:rPr>
        <w:t>自然恢复期原地貌土壤流失量为</w:t>
      </w:r>
      <w:r>
        <w:rPr>
          <w:rFonts w:hint="eastAsia" w:eastAsia="仿宋_GB2312"/>
          <w:sz w:val="24"/>
          <w:lang w:val="en-US" w:eastAsia="zh-CN"/>
        </w:rPr>
        <w:t>187.92</w:t>
      </w:r>
      <w:r>
        <w:rPr>
          <w:rFonts w:hint="eastAsia" w:ascii="Times New Roman" w:hAnsi="Times New Roman" w:eastAsia="仿宋_GB2312"/>
          <w:sz w:val="24"/>
        </w:rPr>
        <w:t>t，扰动后土壤流失量为</w:t>
      </w:r>
      <w:r>
        <w:rPr>
          <w:rFonts w:hint="eastAsia" w:eastAsia="仿宋_GB2312"/>
          <w:sz w:val="24"/>
          <w:lang w:val="en-US" w:eastAsia="zh-CN"/>
        </w:rPr>
        <w:t>214.6</w:t>
      </w:r>
      <w:r>
        <w:rPr>
          <w:rFonts w:hint="eastAsia" w:ascii="Times New Roman" w:hAnsi="Times New Roman" w:eastAsia="仿宋_GB2312"/>
          <w:sz w:val="24"/>
        </w:rPr>
        <w:t>t，新增土壤流失量为</w:t>
      </w:r>
      <w:r>
        <w:rPr>
          <w:rFonts w:hint="eastAsia" w:eastAsia="仿宋_GB2312"/>
          <w:sz w:val="24"/>
          <w:lang w:val="en-US" w:eastAsia="zh-CN"/>
        </w:rPr>
        <w:t>26.68</w:t>
      </w:r>
      <w:r>
        <w:rPr>
          <w:rFonts w:hint="eastAsia" w:ascii="Times New Roman" w:hAnsi="Times New Roman" w:eastAsia="仿宋_GB2312"/>
          <w:sz w:val="24"/>
        </w:rPr>
        <w:t>t，</w:t>
      </w:r>
      <w:r>
        <w:rPr>
          <w:rFonts w:ascii="Times New Roman" w:hAnsi="Times New Roman" w:eastAsia="仿宋_GB2312"/>
          <w:sz w:val="24"/>
        </w:rPr>
        <w:t>详见表4</w:t>
      </w:r>
      <w:r>
        <w:rPr>
          <w:rFonts w:hint="eastAsia" w:ascii="Times New Roman" w:hAnsi="Times New Roman" w:eastAsia="仿宋_GB2312"/>
          <w:sz w:val="24"/>
          <w:lang w:val="en-US" w:eastAsia="zh-CN"/>
        </w:rPr>
        <w:t>-4</w:t>
      </w:r>
      <w:r>
        <w:rPr>
          <w:rFonts w:ascii="Times New Roman" w:hAnsi="Times New Roman" w:eastAsia="仿宋_GB2312"/>
          <w:sz w:val="24"/>
        </w:rPr>
        <w:t>。</w:t>
      </w:r>
    </w:p>
    <w:p>
      <w:pPr>
        <w:autoSpaceDE w:val="0"/>
        <w:autoSpaceDN w:val="0"/>
        <w:adjustRightInd w:val="0"/>
        <w:spacing w:line="360" w:lineRule="auto"/>
        <w:ind w:firstLine="480" w:firstLineChars="200"/>
        <w:rPr>
          <w:rFonts w:ascii="Times New Roman" w:hAnsi="Times New Roman" w:eastAsia="仿宋_GB2312"/>
          <w:sz w:val="24"/>
        </w:rPr>
      </w:pPr>
      <w:r>
        <w:rPr>
          <w:rFonts w:ascii="Times New Roman" w:hAnsi="Times New Roman" w:eastAsia="仿宋_GB2312"/>
          <w:sz w:val="24"/>
        </w:rPr>
        <w:t>（</w:t>
      </w:r>
      <w:r>
        <w:rPr>
          <w:rFonts w:hint="eastAsia" w:eastAsia="仿宋_GB2312"/>
          <w:sz w:val="24"/>
          <w:lang w:val="en-US" w:eastAsia="zh-CN"/>
        </w:rPr>
        <w:t>4</w:t>
      </w:r>
      <w:r>
        <w:rPr>
          <w:rFonts w:ascii="Times New Roman" w:hAnsi="Times New Roman" w:eastAsia="仿宋_GB2312"/>
          <w:sz w:val="24"/>
        </w:rPr>
        <w:t>）新增土壤流失量</w:t>
      </w:r>
    </w:p>
    <w:p>
      <w:pPr>
        <w:autoSpaceDE w:val="0"/>
        <w:autoSpaceDN w:val="0"/>
        <w:adjustRightInd w:val="0"/>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项目原地貌土壤流失总量为</w:t>
      </w:r>
      <w:r>
        <w:rPr>
          <w:rFonts w:hint="eastAsia" w:eastAsia="仿宋_GB2312"/>
          <w:sz w:val="24"/>
          <w:lang w:val="en-US" w:eastAsia="zh-CN"/>
        </w:rPr>
        <w:t>549.62</w:t>
      </w:r>
      <w:r>
        <w:rPr>
          <w:rFonts w:hint="eastAsia" w:ascii="Times New Roman" w:hAnsi="Times New Roman" w:eastAsia="仿宋_GB2312"/>
          <w:sz w:val="24"/>
        </w:rPr>
        <w:t>t，扰动后土壤流失总量为</w:t>
      </w:r>
      <w:r>
        <w:rPr>
          <w:rFonts w:hint="eastAsia" w:eastAsia="仿宋_GB2312"/>
          <w:sz w:val="24"/>
          <w:lang w:val="en-US" w:eastAsia="zh-CN"/>
        </w:rPr>
        <w:t>683.47</w:t>
      </w:r>
      <w:r>
        <w:rPr>
          <w:rFonts w:hint="eastAsia" w:ascii="Times New Roman" w:hAnsi="Times New Roman" w:eastAsia="仿宋_GB2312"/>
          <w:sz w:val="24"/>
        </w:rPr>
        <w:t>t，新增土壤流失量</w:t>
      </w:r>
      <w:r>
        <w:rPr>
          <w:rFonts w:hint="eastAsia" w:eastAsia="仿宋_GB2312"/>
          <w:sz w:val="24"/>
          <w:lang w:val="en-US" w:eastAsia="zh-CN"/>
        </w:rPr>
        <w:t>133.85</w:t>
      </w:r>
      <w:r>
        <w:rPr>
          <w:rFonts w:hint="eastAsia" w:ascii="Times New Roman" w:hAnsi="Times New Roman" w:eastAsia="仿宋_GB2312"/>
          <w:sz w:val="24"/>
        </w:rPr>
        <w:t>t</w:t>
      </w:r>
      <w:r>
        <w:rPr>
          <w:rFonts w:ascii="Times New Roman" w:hAnsi="Times New Roman" w:eastAsia="仿宋_GB2312"/>
          <w:sz w:val="24"/>
        </w:rPr>
        <w:t>。</w:t>
      </w:r>
      <w:r>
        <w:rPr>
          <w:rFonts w:hint="eastAsia" w:ascii="Times New Roman" w:hAnsi="Times New Roman" w:eastAsia="仿宋_GB2312"/>
          <w:sz w:val="24"/>
          <w:lang w:eastAsia="zh-CN"/>
        </w:rPr>
        <w:t>详</w:t>
      </w:r>
      <w:r>
        <w:rPr>
          <w:rFonts w:ascii="Times New Roman" w:hAnsi="Times New Roman" w:eastAsia="仿宋_GB2312"/>
          <w:sz w:val="24"/>
        </w:rPr>
        <w:t>见表4</w:t>
      </w:r>
      <w:r>
        <w:rPr>
          <w:rFonts w:hint="eastAsia" w:ascii="Times New Roman" w:hAnsi="Times New Roman" w:eastAsia="仿宋_GB2312"/>
          <w:sz w:val="24"/>
          <w:lang w:val="en-US" w:eastAsia="zh-CN"/>
        </w:rPr>
        <w:t>-</w:t>
      </w:r>
      <w:r>
        <w:rPr>
          <w:rFonts w:hint="eastAsia" w:eastAsia="仿宋_GB2312"/>
          <w:sz w:val="24"/>
          <w:lang w:val="en-US" w:eastAsia="zh-CN"/>
        </w:rPr>
        <w:t>4</w:t>
      </w:r>
      <w:r>
        <w:rPr>
          <w:rFonts w:ascii="Times New Roman" w:hAnsi="Times New Roman" w:eastAsia="仿宋_GB2312"/>
          <w:sz w:val="24"/>
        </w:rPr>
        <w:t>。</w:t>
      </w:r>
    </w:p>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表4</w:t>
      </w:r>
      <w:r>
        <w:rPr>
          <w:rFonts w:hint="eastAsia" w:ascii="Times New Roman" w:hAnsi="Times New Roman" w:eastAsia="仿宋_GB2312"/>
          <w:b/>
          <w:bCs/>
          <w:sz w:val="24"/>
          <w:lang w:val="en-US" w:eastAsia="zh-CN"/>
        </w:rPr>
        <w:t xml:space="preserve">-4 </w:t>
      </w:r>
      <w:r>
        <w:rPr>
          <w:rFonts w:ascii="Times New Roman" w:hAnsi="Times New Roman" w:eastAsia="仿宋_GB2312"/>
          <w:b/>
          <w:bCs/>
          <w:sz w:val="24"/>
        </w:rPr>
        <w:t xml:space="preserve"> </w:t>
      </w:r>
      <w:r>
        <w:rPr>
          <w:rFonts w:hint="eastAsia" w:ascii="Times New Roman" w:hAnsi="Times New Roman" w:eastAsia="仿宋_GB2312"/>
          <w:b/>
          <w:bCs/>
          <w:sz w:val="24"/>
        </w:rPr>
        <w:t>建设期</w:t>
      </w:r>
      <w:r>
        <w:rPr>
          <w:rFonts w:hint="eastAsia" w:eastAsia="仿宋_GB2312"/>
          <w:b/>
          <w:bCs/>
          <w:sz w:val="24"/>
          <w:lang w:eastAsia="zh-CN"/>
        </w:rPr>
        <w:t>、运行期</w:t>
      </w:r>
      <w:r>
        <w:rPr>
          <w:rFonts w:hint="eastAsia" w:ascii="Times New Roman" w:hAnsi="Times New Roman" w:eastAsia="仿宋_GB2312"/>
          <w:b/>
          <w:bCs/>
          <w:sz w:val="24"/>
        </w:rPr>
        <w:t>及自然恢复期土壤流失量预测表</w:t>
      </w:r>
    </w:p>
    <w:tbl>
      <w:tblPr>
        <w:tblStyle w:val="24"/>
        <w:tblW w:w="8820"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40"/>
        <w:gridCol w:w="1067"/>
        <w:gridCol w:w="730"/>
        <w:gridCol w:w="958"/>
        <w:gridCol w:w="644"/>
        <w:gridCol w:w="750"/>
        <w:gridCol w:w="688"/>
        <w:gridCol w:w="668"/>
        <w:gridCol w:w="858"/>
        <w:gridCol w:w="930"/>
        <w:gridCol w:w="98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90" w:hRule="atLeast"/>
          <w:jc w:val="center"/>
        </w:trPr>
        <w:tc>
          <w:tcPr>
            <w:tcW w:w="54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bookmarkStart w:id="98" w:name="_Toc3724"/>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时段</w:t>
            </w:r>
          </w:p>
        </w:tc>
        <w:tc>
          <w:tcPr>
            <w:tcW w:w="106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区域</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面积</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(hm²)</w:t>
            </w: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原地貌</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土壤侵</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蚀模数</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(t/km²·a)</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扰动后土壤侵蚀模数(t/km²·a)</w:t>
            </w: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预测</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时间</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(a)</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原地貌</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土壤流</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失量(t)</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扰动后</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土壤流</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失量(t)</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新增土</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壤流失</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量(t)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40" w:type="dxa"/>
            <w:vMerge w:val="restart"/>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建</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设</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期</w:t>
            </w:r>
          </w:p>
        </w:tc>
        <w:tc>
          <w:tcPr>
            <w:tcW w:w="106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加工场地</w:t>
            </w:r>
          </w:p>
        </w:tc>
        <w:tc>
          <w:tcPr>
            <w:tcW w:w="730"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0.36</w:t>
            </w: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2700</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3500</w:t>
            </w:r>
          </w:p>
        </w:tc>
        <w:tc>
          <w:tcPr>
            <w:tcW w:w="66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0.5</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4.86</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6.3</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1.44</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40" w:type="dxa"/>
            <w:vMerge w:val="continue"/>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06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场地道路</w:t>
            </w:r>
          </w:p>
        </w:tc>
        <w:tc>
          <w:tcPr>
            <w:tcW w:w="730"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0.</w:t>
            </w:r>
            <w:r>
              <w:rPr>
                <w:rFonts w:hint="eastAsia" w:eastAsia="仿宋_GB2312"/>
                <w:kern w:val="0"/>
                <w:sz w:val="20"/>
                <w:szCs w:val="20"/>
                <w:lang w:val="en-US" w:eastAsia="zh-CN"/>
              </w:rPr>
              <w:t>82</w:t>
            </w: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2700</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3500</w:t>
            </w: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val="en-US" w:eastAsia="zh-CN"/>
              </w:rPr>
              <w:t>0.5</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11.07</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14.35</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3.28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40" w:type="dxa"/>
            <w:vMerge w:val="continue"/>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106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小</w:t>
            </w:r>
            <w:r>
              <w:rPr>
                <w:rFonts w:hint="eastAsia" w:ascii="Times New Roman" w:hAnsi="Times New Roman" w:eastAsia="仿宋_GB2312"/>
                <w:kern w:val="0"/>
                <w:sz w:val="20"/>
                <w:szCs w:val="20"/>
                <w:lang w:val="en-US" w:eastAsia="zh-CN"/>
              </w:rPr>
              <w:t xml:space="preserve"> </w:t>
            </w:r>
            <w:r>
              <w:rPr>
                <w:rFonts w:hint="eastAsia" w:ascii="Times New Roman" w:hAnsi="Times New Roman" w:eastAsia="仿宋_GB2312"/>
                <w:kern w:val="0"/>
                <w:sz w:val="20"/>
                <w:szCs w:val="20"/>
                <w:lang w:eastAsia="zh-CN"/>
              </w:rPr>
              <w:t>计</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15.93</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20.65</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4.72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7" w:hRule="atLeast"/>
          <w:jc w:val="center"/>
        </w:trPr>
        <w:tc>
          <w:tcPr>
            <w:tcW w:w="540" w:type="dxa"/>
            <w:tcBorders>
              <w:tl2br w:val="nil"/>
              <w:tr2bl w:val="nil"/>
            </w:tcBorders>
            <w:noWrap w:val="0"/>
            <w:tcMar>
              <w:left w:w="11" w:type="dxa"/>
              <w:right w:w="11" w:type="dxa"/>
            </w:tcMar>
            <w:vAlign w:val="center"/>
          </w:tcPr>
          <w:p>
            <w:pPr>
              <w:widowControl/>
              <w:spacing w:line="240" w:lineRule="exact"/>
              <w:jc w:val="center"/>
              <w:rPr>
                <w:rFonts w:hint="eastAsia" w:eastAsia="仿宋_GB2312"/>
                <w:kern w:val="0"/>
                <w:sz w:val="20"/>
                <w:szCs w:val="20"/>
                <w:lang w:eastAsia="zh-CN"/>
              </w:rPr>
            </w:pPr>
            <w:r>
              <w:rPr>
                <w:rFonts w:hint="eastAsia" w:eastAsia="仿宋_GB2312"/>
                <w:kern w:val="0"/>
                <w:sz w:val="20"/>
                <w:szCs w:val="20"/>
                <w:lang w:eastAsia="zh-CN"/>
              </w:rPr>
              <w:t>运</w:t>
            </w:r>
          </w:p>
          <w:p>
            <w:pPr>
              <w:widowControl/>
              <w:spacing w:line="240" w:lineRule="exact"/>
              <w:jc w:val="center"/>
              <w:rPr>
                <w:rFonts w:hint="eastAsia" w:eastAsia="仿宋_GB2312"/>
                <w:kern w:val="0"/>
                <w:sz w:val="20"/>
                <w:szCs w:val="20"/>
                <w:lang w:eastAsia="zh-CN"/>
              </w:rPr>
            </w:pPr>
            <w:r>
              <w:rPr>
                <w:rFonts w:hint="eastAsia" w:eastAsia="仿宋_GB2312"/>
                <w:kern w:val="0"/>
                <w:sz w:val="20"/>
                <w:szCs w:val="20"/>
                <w:lang w:eastAsia="zh-CN"/>
              </w:rPr>
              <w:t>行</w:t>
            </w:r>
          </w:p>
          <w:p>
            <w:pPr>
              <w:widowControl/>
              <w:spacing w:line="240" w:lineRule="exact"/>
              <w:jc w:val="center"/>
              <w:rPr>
                <w:rFonts w:hint="eastAsia" w:ascii="Times New Roman" w:hAnsi="Times New Roman" w:eastAsia="仿宋_GB2312"/>
                <w:kern w:val="0"/>
                <w:sz w:val="20"/>
                <w:szCs w:val="20"/>
                <w:lang w:eastAsia="zh-CN"/>
              </w:rPr>
            </w:pPr>
            <w:r>
              <w:rPr>
                <w:rFonts w:hint="eastAsia" w:eastAsia="仿宋_GB2312"/>
                <w:kern w:val="0"/>
                <w:sz w:val="20"/>
                <w:szCs w:val="20"/>
                <w:lang w:eastAsia="zh-CN"/>
              </w:rPr>
              <w:t>期</w:t>
            </w:r>
          </w:p>
        </w:tc>
        <w:tc>
          <w:tcPr>
            <w:tcW w:w="106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cstheme="minorBidi"/>
                <w:kern w:val="0"/>
                <w:sz w:val="20"/>
                <w:szCs w:val="20"/>
                <w:lang w:val="en-US" w:eastAsia="zh-CN" w:bidi="ar-SA"/>
              </w:rPr>
            </w:pPr>
            <w:r>
              <w:rPr>
                <w:rFonts w:hint="eastAsia" w:ascii="Times New Roman" w:hAnsi="Times New Roman" w:eastAsia="仿宋_GB2312"/>
                <w:kern w:val="0"/>
                <w:sz w:val="20"/>
                <w:szCs w:val="20"/>
                <w:lang w:eastAsia="zh-CN"/>
              </w:rPr>
              <w:t>采场</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cstheme="minorBidi"/>
                <w:kern w:val="0"/>
                <w:sz w:val="20"/>
                <w:szCs w:val="20"/>
                <w:lang w:val="en-US" w:eastAsia="zh-CN" w:bidi="ar-SA"/>
              </w:rPr>
            </w:pPr>
            <w:r>
              <w:rPr>
                <w:rFonts w:hint="eastAsia" w:eastAsia="仿宋_GB2312"/>
                <w:kern w:val="0"/>
                <w:sz w:val="20"/>
                <w:szCs w:val="20"/>
                <w:lang w:val="en-US" w:eastAsia="zh-CN"/>
              </w:rPr>
              <w:t>2.32</w:t>
            </w: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cstheme="minorBidi"/>
                <w:kern w:val="0"/>
                <w:sz w:val="20"/>
                <w:szCs w:val="20"/>
                <w:lang w:val="en-US" w:eastAsia="zh-CN" w:bidi="ar-SA"/>
              </w:rPr>
            </w:pPr>
            <w:r>
              <w:rPr>
                <w:rFonts w:hint="eastAsia" w:ascii="Times New Roman" w:hAnsi="Times New Roman" w:eastAsia="仿宋_GB2312"/>
                <w:kern w:val="0"/>
                <w:sz w:val="20"/>
                <w:szCs w:val="20"/>
                <w:lang w:val="en-US" w:eastAsia="zh-CN"/>
              </w:rPr>
              <w:t>2700</w:t>
            </w: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cstheme="minorBidi"/>
                <w:kern w:val="0"/>
                <w:sz w:val="20"/>
                <w:szCs w:val="20"/>
                <w:lang w:val="en-US" w:eastAsia="zh-CN" w:bidi="ar-SA"/>
              </w:rPr>
            </w:pPr>
            <w:r>
              <w:rPr>
                <w:rFonts w:hint="eastAsia" w:ascii="Times New Roman" w:hAnsi="Times New Roman" w:eastAsia="仿宋_GB2312"/>
                <w:kern w:val="0"/>
                <w:sz w:val="20"/>
                <w:szCs w:val="20"/>
                <w:lang w:val="en-US" w:eastAsia="zh-CN"/>
              </w:rPr>
              <w:t>3500</w:t>
            </w:r>
          </w:p>
        </w:tc>
        <w:tc>
          <w:tcPr>
            <w:tcW w:w="668" w:type="dxa"/>
            <w:tcBorders>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cstheme="minorBidi"/>
                <w:kern w:val="0"/>
                <w:sz w:val="20"/>
                <w:szCs w:val="20"/>
                <w:lang w:val="en-US" w:eastAsia="zh-CN" w:bidi="ar-SA"/>
              </w:rPr>
            </w:pPr>
            <w:r>
              <w:rPr>
                <w:rFonts w:hint="eastAsia" w:eastAsia="仿宋_GB2312"/>
                <w:kern w:val="0"/>
                <w:sz w:val="20"/>
                <w:szCs w:val="20"/>
                <w:lang w:val="en-US" w:eastAsia="zh-CN"/>
              </w:rPr>
              <w:t>5.52</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 xml:space="preserve">345.77 </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 xml:space="preserve">448.22 </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 xml:space="preserve">102.45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30" w:hRule="atLeast"/>
          <w:jc w:val="center"/>
        </w:trPr>
        <w:tc>
          <w:tcPr>
            <w:tcW w:w="54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自</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然</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恢</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复</w:t>
            </w:r>
          </w:p>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期</w:t>
            </w:r>
          </w:p>
        </w:tc>
        <w:tc>
          <w:tcPr>
            <w:tcW w:w="1067"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采场</w:t>
            </w:r>
          </w:p>
        </w:tc>
        <w:tc>
          <w:tcPr>
            <w:tcW w:w="730"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2.32</w:t>
            </w:r>
          </w:p>
        </w:tc>
        <w:tc>
          <w:tcPr>
            <w:tcW w:w="958" w:type="dxa"/>
            <w:tcBorders>
              <w:bottom w:val="single" w:color="000000" w:sz="8" w:space="0"/>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2700</w:t>
            </w:r>
          </w:p>
        </w:tc>
        <w:tc>
          <w:tcPr>
            <w:tcW w:w="644" w:type="dxa"/>
            <w:tcBorders>
              <w:righ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3500</w:t>
            </w:r>
          </w:p>
        </w:tc>
        <w:tc>
          <w:tcPr>
            <w:tcW w:w="750" w:type="dxa"/>
            <w:tcBorders>
              <w:left w:val="single" w:color="000000" w:sz="8" w:space="0"/>
              <w:righ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3000</w:t>
            </w:r>
          </w:p>
        </w:tc>
        <w:tc>
          <w:tcPr>
            <w:tcW w:w="688" w:type="dxa"/>
            <w:tcBorders>
              <w:left w:val="single" w:color="000000" w:sz="8" w:space="0"/>
              <w:tl2br w:val="nil"/>
              <w:tr2bl w:val="nil"/>
            </w:tcBorders>
            <w:noWrap w:val="0"/>
            <w:tcMar>
              <w:left w:w="11" w:type="dxa"/>
              <w:right w:w="11" w:type="dxa"/>
            </w:tcMar>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2750</w:t>
            </w: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val="en-US" w:eastAsia="zh-CN"/>
              </w:rPr>
              <w:t>3</w:t>
            </w: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 xml:space="preserve">187.92 </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214.6</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26.68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8" w:hRule="atLeast"/>
          <w:jc w:val="center"/>
        </w:trPr>
        <w:tc>
          <w:tcPr>
            <w:tcW w:w="1607" w:type="dxa"/>
            <w:gridSpan w:val="2"/>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r>
              <w:rPr>
                <w:rFonts w:hint="eastAsia" w:ascii="Times New Roman" w:hAnsi="Times New Roman" w:eastAsia="仿宋_GB2312"/>
                <w:kern w:val="0"/>
                <w:sz w:val="20"/>
                <w:szCs w:val="20"/>
                <w:lang w:eastAsia="zh-CN"/>
              </w:rPr>
              <w:t>合 计</w:t>
            </w:r>
          </w:p>
        </w:tc>
        <w:tc>
          <w:tcPr>
            <w:tcW w:w="7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9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2082" w:type="dxa"/>
            <w:gridSpan w:val="3"/>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66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eastAsia="zh-CN"/>
              </w:rPr>
            </w:pPr>
          </w:p>
        </w:tc>
        <w:tc>
          <w:tcPr>
            <w:tcW w:w="858"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549.62</w:t>
            </w:r>
          </w:p>
        </w:tc>
        <w:tc>
          <w:tcPr>
            <w:tcW w:w="930"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683.47</w:t>
            </w:r>
          </w:p>
        </w:tc>
        <w:tc>
          <w:tcPr>
            <w:tcW w:w="987" w:type="dxa"/>
            <w:tcBorders>
              <w:tl2br w:val="nil"/>
              <w:tr2bl w:val="nil"/>
            </w:tcBorders>
            <w:noWrap w:val="0"/>
            <w:tcMar>
              <w:left w:w="11" w:type="dxa"/>
              <w:right w:w="11" w:type="dxa"/>
            </w:tcMar>
            <w:vAlign w:val="center"/>
          </w:tcPr>
          <w:p>
            <w:pPr>
              <w:widowControl/>
              <w:spacing w:line="240" w:lineRule="exact"/>
              <w:jc w:val="center"/>
              <w:rPr>
                <w:rFonts w:hint="eastAsia" w:ascii="Times New Roman" w:hAnsi="Times New Roman" w:eastAsia="仿宋_GB2312"/>
                <w:kern w:val="0"/>
                <w:sz w:val="20"/>
                <w:szCs w:val="20"/>
                <w:lang w:val="en-US" w:eastAsia="zh-CN"/>
              </w:rPr>
            </w:pPr>
            <w:r>
              <w:rPr>
                <w:rFonts w:hint="eastAsia" w:ascii="Times New Roman" w:hAnsi="Times New Roman" w:eastAsia="仿宋_GB2312"/>
                <w:kern w:val="0"/>
                <w:sz w:val="20"/>
                <w:szCs w:val="20"/>
                <w:lang w:val="en-US" w:eastAsia="zh-CN"/>
              </w:rPr>
              <w:t>133.85</w:t>
            </w:r>
          </w:p>
        </w:tc>
      </w:tr>
    </w:tbl>
    <w:p>
      <w:pPr>
        <w:pStyle w:val="4"/>
        <w:spacing w:before="120" w:after="120" w:line="360" w:lineRule="auto"/>
        <w:ind w:firstLine="0"/>
        <w:rPr>
          <w:rFonts w:ascii="Times New Roman" w:hAnsi="Times New Roman" w:eastAsia="仿宋_GB2312" w:cs="Times New Roman"/>
          <w:b/>
          <w:bCs/>
          <w:sz w:val="32"/>
          <w:szCs w:val="32"/>
        </w:rPr>
      </w:pPr>
      <w:bookmarkStart w:id="99" w:name="_Toc6705"/>
      <w:r>
        <w:rPr>
          <w:rFonts w:ascii="Times New Roman" w:hAnsi="Times New Roman" w:eastAsia="仿宋_GB2312" w:cs="Times New Roman"/>
          <w:b/>
          <w:bCs/>
          <w:sz w:val="32"/>
          <w:szCs w:val="32"/>
        </w:rPr>
        <w:t>4.4水土流失危害分析</w:t>
      </w:r>
      <w:bookmarkEnd w:id="98"/>
      <w:bookmarkEnd w:id="99"/>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4.4.1可能造成的水土流失危害预测方法</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根据工程特点，采用定性方法进行描述性预测评价。分析预测内容包括：项目建设新增水土流失对土地资源的破坏和影响；项目建设对项目区周边生态环境的影响等。</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4.4.2可能造成水土流失危害预测</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工程建设开挖、堆土、压占、运输等建设活动扰动地表、产生新增水土流失，同时也将造成一定程度的危害，具体表现为：</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对土地资源的破坏：由于开挖、占压，破坏原有植被，改变了原地貌、土壤结构和地面物质组成，造成土地肥力的严重退化，从而导致土地生产力降低。同时，施工扰动了原土层，使裸地面积增加，为溅蚀、面蚀、细沟侵蚀等创造了条件，造成水土流失。</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综上所述，工程建设必须及时编制水土保持方案，根据不同情况采取有效可行的预防和治理措施，防止水土流失进一步扩大，将水土流失量控制在最低限度。</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4.4.3水土流失危害分析</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项目建设造成的水土流失如果不及时采取合理的预防和保护措施，将会产生严重危害。根据水土流失量预测结果，结合项目区地形、地貌、土壤、植被以及施工方式等特点，项目建设可能造成的水土流失危害主要有以下几方面：</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（1）项目区及周边地区的水土流失</w:t>
      </w:r>
    </w:p>
    <w:p>
      <w:pPr>
        <w:spacing w:line="360" w:lineRule="auto"/>
        <w:ind w:firstLine="480" w:firstLineChars="200"/>
        <w:jc w:val="left"/>
        <w:rPr>
          <w:rFonts w:hint="eastAsia" w:ascii="Times New Roman" w:hAnsi="Times New Roman" w:eastAsia="仿宋_GB2312"/>
          <w:kern w:val="0"/>
          <w:sz w:val="24"/>
          <w:szCs w:val="24"/>
          <w:lang w:eastAsia="zh-CN"/>
        </w:rPr>
      </w:pPr>
      <w:r>
        <w:rPr>
          <w:rFonts w:ascii="Times New Roman" w:hAnsi="Times New Roman" w:eastAsia="仿宋_GB2312"/>
          <w:kern w:val="0"/>
          <w:sz w:val="24"/>
          <w:szCs w:val="24"/>
        </w:rPr>
        <w:t>据上述预测，项目建设可能造成新增水土流失量</w:t>
      </w:r>
      <w:r>
        <w:rPr>
          <w:rFonts w:hint="eastAsia" w:eastAsia="仿宋_GB2312"/>
          <w:kern w:val="0"/>
          <w:sz w:val="24"/>
          <w:szCs w:val="24"/>
          <w:lang w:val="en-US" w:eastAsia="zh-CN"/>
        </w:rPr>
        <w:t>133.85</w:t>
      </w:r>
      <w:r>
        <w:rPr>
          <w:rFonts w:hint="eastAsia" w:ascii="Times New Roman" w:hAnsi="Times New Roman" w:eastAsia="仿宋_GB2312"/>
          <w:kern w:val="0"/>
          <w:sz w:val="24"/>
          <w:szCs w:val="24"/>
          <w:lang w:val="en-US" w:eastAsia="zh-CN"/>
        </w:rPr>
        <w:t>t</w:t>
      </w:r>
      <w:r>
        <w:rPr>
          <w:rFonts w:ascii="Times New Roman" w:hAnsi="Times New Roman" w:eastAsia="仿宋_GB2312"/>
          <w:kern w:val="0"/>
          <w:sz w:val="24"/>
          <w:szCs w:val="24"/>
        </w:rPr>
        <w:t>，加剧了当地的水土流失量。</w:t>
      </w:r>
      <w:r>
        <w:rPr>
          <w:rFonts w:hint="eastAsia" w:ascii="Times New Roman" w:hAnsi="Times New Roman" w:eastAsia="仿宋_GB2312"/>
          <w:kern w:val="0"/>
          <w:sz w:val="24"/>
          <w:szCs w:val="24"/>
          <w:lang w:eastAsia="zh-CN"/>
        </w:rPr>
        <w:t>该地区土壤覆盖少资源紧缺，一旦造成破坏将产生严重的水土流失，自然恢复周期长。</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（2）破坏土地资源</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建设过程中占用土地，损坏了土地资源。</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（3）破坏植被</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工程建设扰动和破坏了现有的植被，降低了土壤保水和保土能力。</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（4）对区域生态环境造成危害</w:t>
      </w:r>
    </w:p>
    <w:p>
      <w:pPr>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工程建设中造成的水土流失如不进行有效的治理，会对项目区生态环境造成危害，不利于地区良好景观。</w:t>
      </w:r>
    </w:p>
    <w:p>
      <w:pPr>
        <w:pStyle w:val="4"/>
        <w:spacing w:before="120" w:after="120" w:line="360" w:lineRule="auto"/>
        <w:ind w:firstLine="0"/>
        <w:rPr>
          <w:rFonts w:ascii="Times New Roman" w:hAnsi="Times New Roman" w:eastAsia="仿宋_GB2312" w:cs="Times New Roman"/>
          <w:b/>
          <w:bCs/>
          <w:sz w:val="32"/>
          <w:szCs w:val="32"/>
        </w:rPr>
      </w:pPr>
      <w:bookmarkStart w:id="100" w:name="_Toc19700"/>
      <w:bookmarkStart w:id="101" w:name="_Toc18892"/>
      <w:r>
        <w:rPr>
          <w:rFonts w:ascii="Times New Roman" w:hAnsi="Times New Roman" w:eastAsia="仿宋_GB2312" w:cs="Times New Roman"/>
          <w:b/>
          <w:bCs/>
          <w:sz w:val="32"/>
          <w:szCs w:val="32"/>
        </w:rPr>
        <w:t>4.5指导性意见</w:t>
      </w:r>
      <w:bookmarkEnd w:id="100"/>
      <w:bookmarkEnd w:id="101"/>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4.5.1预测结论</w:t>
      </w:r>
    </w:p>
    <w:p>
      <w:pPr>
        <w:pStyle w:val="6"/>
        <w:spacing w:before="0" w:after="0" w:line="360" w:lineRule="auto"/>
        <w:rPr>
          <w:rFonts w:ascii="Times New Roman" w:hAnsi="Times New Roman" w:eastAsia="仿宋_GB2312"/>
          <w:sz w:val="24"/>
          <w:szCs w:val="24"/>
        </w:rPr>
      </w:pPr>
      <w:r>
        <w:rPr>
          <w:rFonts w:ascii="Times New Roman" w:hAnsi="Times New Roman" w:eastAsia="仿宋_GB2312"/>
          <w:sz w:val="24"/>
          <w:szCs w:val="24"/>
        </w:rPr>
        <w:t>4.5.1.1主要预测结果</w:t>
      </w:r>
    </w:p>
    <w:p>
      <w:pPr>
        <w:spacing w:line="360" w:lineRule="auto"/>
        <w:ind w:firstLine="480" w:firstLineChars="200"/>
        <w:rPr>
          <w:rFonts w:ascii="Times New Roman" w:hAnsi="Times New Roman" w:eastAsia="仿宋_GB2312"/>
          <w:kern w:val="24"/>
          <w:sz w:val="24"/>
        </w:rPr>
      </w:pPr>
      <w:r>
        <w:rPr>
          <w:rFonts w:ascii="Times New Roman" w:hAnsi="Times New Roman" w:eastAsia="仿宋_GB2312"/>
          <w:kern w:val="24"/>
          <w:sz w:val="24"/>
        </w:rPr>
        <w:t>（1）该工程建设施工期间扰动地表、破坏植被面积为</w:t>
      </w:r>
      <w:r>
        <w:rPr>
          <w:rFonts w:hint="eastAsia" w:eastAsia="仿宋_GB2312"/>
          <w:kern w:val="24"/>
          <w:sz w:val="24"/>
          <w:lang w:val="en-US" w:eastAsia="zh-CN"/>
        </w:rPr>
        <w:t>3.51</w:t>
      </w:r>
      <w:r>
        <w:rPr>
          <w:rFonts w:ascii="Times New Roman" w:hAnsi="Times New Roman" w:eastAsia="仿宋_GB2312"/>
          <w:kern w:val="24"/>
          <w:sz w:val="24"/>
        </w:rPr>
        <w:t>hm</w:t>
      </w:r>
      <w:r>
        <w:rPr>
          <w:rFonts w:ascii="Times New Roman" w:hAnsi="Times New Roman" w:eastAsia="仿宋_GB2312"/>
          <w:kern w:val="24"/>
          <w:sz w:val="24"/>
          <w:vertAlign w:val="superscript"/>
        </w:rPr>
        <w:t>2</w:t>
      </w:r>
      <w:r>
        <w:rPr>
          <w:rFonts w:ascii="Times New Roman" w:hAnsi="Times New Roman" w:eastAsia="仿宋_GB2312"/>
          <w:kern w:val="24"/>
          <w:sz w:val="24"/>
        </w:rPr>
        <w:t>；损坏水土保持设施面积为</w:t>
      </w:r>
      <w:r>
        <w:rPr>
          <w:rFonts w:hint="eastAsia" w:eastAsia="仿宋_GB2312"/>
          <w:kern w:val="24"/>
          <w:sz w:val="24"/>
          <w:lang w:val="en-US" w:eastAsia="zh-CN"/>
        </w:rPr>
        <w:t>3.51</w:t>
      </w:r>
      <w:r>
        <w:rPr>
          <w:rFonts w:ascii="Times New Roman" w:hAnsi="Times New Roman" w:eastAsia="仿宋_GB2312"/>
          <w:kern w:val="24"/>
          <w:sz w:val="24"/>
        </w:rPr>
        <w:t>hm</w:t>
      </w:r>
      <w:r>
        <w:rPr>
          <w:rFonts w:ascii="Times New Roman" w:hAnsi="Times New Roman" w:eastAsia="仿宋_GB2312"/>
          <w:kern w:val="24"/>
          <w:sz w:val="24"/>
          <w:vertAlign w:val="superscript"/>
        </w:rPr>
        <w:t>2</w:t>
      </w:r>
      <w:r>
        <w:rPr>
          <w:rFonts w:ascii="Times New Roman" w:hAnsi="Times New Roman" w:eastAsia="仿宋_GB2312"/>
          <w:kern w:val="24"/>
          <w:sz w:val="24"/>
        </w:rPr>
        <w:t>。</w:t>
      </w:r>
    </w:p>
    <w:p>
      <w:pPr>
        <w:spacing w:line="360" w:lineRule="auto"/>
        <w:ind w:firstLine="480" w:firstLineChars="200"/>
        <w:rPr>
          <w:rFonts w:hint="eastAsia" w:ascii="Times New Roman" w:hAnsi="Times New Roman" w:eastAsia="仿宋_GB2312"/>
          <w:sz w:val="24"/>
          <w:szCs w:val="24"/>
          <w:lang w:eastAsia="zh-CN"/>
        </w:rPr>
      </w:pPr>
      <w:r>
        <w:rPr>
          <w:rFonts w:ascii="Times New Roman" w:hAnsi="Times New Roman" w:eastAsia="仿宋_GB2312"/>
          <w:kern w:val="24"/>
          <w:sz w:val="24"/>
        </w:rPr>
        <w:t>（2）</w:t>
      </w:r>
      <w:r>
        <w:rPr>
          <w:rFonts w:hint="eastAsia" w:ascii="Times New Roman" w:hAnsi="Times New Roman" w:eastAsia="仿宋_GB2312"/>
          <w:sz w:val="24"/>
          <w:szCs w:val="24"/>
          <w:lang w:eastAsia="zh-CN"/>
        </w:rPr>
        <w:t>本项目建设期挖填总量为</w:t>
      </w:r>
      <w:r>
        <w:rPr>
          <w:rFonts w:hint="eastAsia" w:eastAsia="仿宋_GB2312"/>
          <w:sz w:val="24"/>
          <w:szCs w:val="24"/>
          <w:lang w:val="en-US" w:eastAsia="zh-CN"/>
        </w:rPr>
        <w:t>1</w:t>
      </w:r>
      <w:r>
        <w:rPr>
          <w:rFonts w:hint="eastAsia" w:ascii="Times New Roman" w:hAnsi="Times New Roman" w:eastAsia="仿宋_GB2312"/>
          <w:sz w:val="24"/>
          <w:szCs w:val="24"/>
          <w:lang w:eastAsia="zh-CN"/>
        </w:rPr>
        <w:t>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。其中开挖</w:t>
      </w:r>
      <w:r>
        <w:rPr>
          <w:rFonts w:hint="eastAsia" w:eastAsia="仿宋_GB2312"/>
          <w:sz w:val="24"/>
          <w:szCs w:val="24"/>
          <w:lang w:val="en-US" w:eastAsia="zh-CN"/>
        </w:rPr>
        <w:t>0.5</w:t>
      </w:r>
      <w:r>
        <w:rPr>
          <w:rFonts w:hint="eastAsia" w:ascii="Times New Roman" w:hAnsi="Times New Roman" w:eastAsia="仿宋_GB2312"/>
          <w:sz w:val="24"/>
          <w:szCs w:val="24"/>
          <w:lang w:eastAsia="zh-CN"/>
        </w:rPr>
        <w:t>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，回填</w:t>
      </w:r>
      <w:r>
        <w:rPr>
          <w:rFonts w:hint="eastAsia" w:eastAsia="仿宋_GB2312"/>
          <w:sz w:val="24"/>
          <w:szCs w:val="24"/>
          <w:lang w:val="en-US" w:eastAsia="zh-CN"/>
        </w:rPr>
        <w:t>0.5</w:t>
      </w:r>
      <w:r>
        <w:rPr>
          <w:rFonts w:hint="eastAsia" w:ascii="Times New Roman" w:hAnsi="Times New Roman" w:eastAsia="仿宋_GB2312"/>
          <w:sz w:val="24"/>
          <w:szCs w:val="24"/>
          <w:lang w:eastAsia="zh-CN"/>
        </w:rPr>
        <w:t>万m</w:t>
      </w:r>
      <w:r>
        <w:rPr>
          <w:rFonts w:hint="eastAsia" w:ascii="Times New Roman" w:hAnsi="Times New Roman" w:eastAsia="仿宋_GB2312"/>
          <w:sz w:val="24"/>
          <w:szCs w:val="24"/>
          <w:vertAlign w:val="superscript"/>
          <w:lang w:eastAsia="zh-CN"/>
        </w:rPr>
        <w:t>3</w:t>
      </w:r>
      <w:r>
        <w:rPr>
          <w:rFonts w:hint="eastAsia" w:ascii="Times New Roman" w:hAnsi="Times New Roman" w:eastAsia="仿宋_GB2312"/>
          <w:sz w:val="24"/>
          <w:szCs w:val="24"/>
          <w:lang w:eastAsia="zh-CN"/>
        </w:rPr>
        <w:t>，无弃方。运行期矿山开采</w:t>
      </w:r>
      <w:r>
        <w:rPr>
          <w:rFonts w:hint="eastAsia" w:eastAsia="仿宋_GB2312"/>
          <w:sz w:val="24"/>
          <w:szCs w:val="24"/>
          <w:lang w:eastAsia="zh-CN"/>
        </w:rPr>
        <w:t>产生的废石已签订购销合同</w:t>
      </w:r>
      <w:r>
        <w:rPr>
          <w:rFonts w:hint="eastAsia" w:ascii="Times New Roman" w:hAnsi="Times New Roman" w:eastAsia="仿宋_GB2312"/>
          <w:sz w:val="24"/>
          <w:szCs w:val="24"/>
          <w:lang w:eastAsia="zh-CN"/>
        </w:rPr>
        <w:t>，无弃渣产生。</w:t>
      </w:r>
    </w:p>
    <w:p>
      <w:pPr>
        <w:pStyle w:val="2"/>
        <w:ind w:firstLine="480"/>
        <w:rPr>
          <w:rFonts w:ascii="Times New Roman" w:hAnsi="Times New Roman" w:eastAsia="仿宋_GB2312"/>
          <w:sz w:val="24"/>
        </w:rPr>
      </w:pPr>
      <w:r>
        <w:rPr>
          <w:rFonts w:ascii="Times New Roman" w:hAnsi="Times New Roman" w:eastAsia="仿宋_GB2312"/>
          <w:sz w:val="24"/>
        </w:rPr>
        <w:t>（3）</w:t>
      </w:r>
      <w:r>
        <w:rPr>
          <w:rFonts w:hint="eastAsia" w:ascii="Times New Roman" w:hAnsi="Times New Roman" w:eastAsia="仿宋_GB2312"/>
          <w:sz w:val="24"/>
        </w:rPr>
        <w:t>项目原地貌土壤流失总量为</w:t>
      </w:r>
      <w:r>
        <w:rPr>
          <w:rFonts w:hint="eastAsia" w:eastAsia="仿宋_GB2312"/>
          <w:sz w:val="24"/>
          <w:lang w:val="en-US" w:eastAsia="zh-CN"/>
        </w:rPr>
        <w:t>549.62</w:t>
      </w:r>
      <w:r>
        <w:rPr>
          <w:rFonts w:hint="eastAsia" w:ascii="Times New Roman" w:hAnsi="Times New Roman" w:eastAsia="仿宋_GB2312"/>
          <w:sz w:val="24"/>
        </w:rPr>
        <w:t>t，扰动后土壤流失总量为</w:t>
      </w:r>
      <w:r>
        <w:rPr>
          <w:rFonts w:hint="eastAsia" w:eastAsia="仿宋_GB2312"/>
          <w:sz w:val="24"/>
          <w:lang w:val="en-US" w:eastAsia="zh-CN"/>
        </w:rPr>
        <w:t>683.47</w:t>
      </w:r>
      <w:r>
        <w:rPr>
          <w:rFonts w:hint="eastAsia" w:ascii="Times New Roman" w:hAnsi="Times New Roman" w:eastAsia="仿宋_GB2312"/>
          <w:sz w:val="24"/>
        </w:rPr>
        <w:t>t，新增土壤流失量</w:t>
      </w:r>
      <w:r>
        <w:rPr>
          <w:rFonts w:hint="eastAsia" w:eastAsia="仿宋_GB2312"/>
          <w:sz w:val="24"/>
          <w:lang w:val="en-US" w:eastAsia="zh-CN"/>
        </w:rPr>
        <w:t>133.85</w:t>
      </w:r>
      <w:r>
        <w:rPr>
          <w:rFonts w:hint="eastAsia" w:ascii="Times New Roman" w:hAnsi="Times New Roman" w:eastAsia="仿宋_GB2312"/>
          <w:sz w:val="24"/>
        </w:rPr>
        <w:t>t</w:t>
      </w:r>
      <w:r>
        <w:rPr>
          <w:rFonts w:ascii="Times New Roman" w:hAnsi="Times New Roman" w:eastAsia="仿宋_GB2312"/>
          <w:sz w:val="24"/>
        </w:rPr>
        <w:t>。</w:t>
      </w:r>
    </w:p>
    <w:p>
      <w:pPr>
        <w:pStyle w:val="2"/>
        <w:ind w:firstLine="480"/>
        <w:rPr>
          <w:rFonts w:eastAsia="仿宋_GB2312"/>
          <w:spacing w:val="0"/>
          <w:sz w:val="24"/>
          <w:szCs w:val="24"/>
        </w:rPr>
      </w:pPr>
      <w:r>
        <w:rPr>
          <w:rFonts w:eastAsia="仿宋_GB2312"/>
          <w:spacing w:val="0"/>
          <w:sz w:val="24"/>
          <w:szCs w:val="24"/>
        </w:rPr>
        <w:t>（4）预测可能造成的水土流失危害有：</w:t>
      </w:r>
      <w:r>
        <w:rPr>
          <w:spacing w:val="0"/>
          <w:sz w:val="24"/>
          <w:szCs w:val="24"/>
        </w:rPr>
        <w:t>①</w:t>
      </w:r>
      <w:r>
        <w:rPr>
          <w:rFonts w:eastAsia="仿宋_GB2312"/>
          <w:spacing w:val="0"/>
          <w:sz w:val="24"/>
          <w:szCs w:val="24"/>
        </w:rPr>
        <w:t>加剧项目区及周边地区的水土流失；</w:t>
      </w:r>
      <w:r>
        <w:rPr>
          <w:spacing w:val="0"/>
          <w:sz w:val="24"/>
          <w:szCs w:val="24"/>
        </w:rPr>
        <w:t>②</w:t>
      </w:r>
      <w:r>
        <w:rPr>
          <w:rFonts w:eastAsia="仿宋_GB2312"/>
          <w:spacing w:val="0"/>
          <w:sz w:val="24"/>
          <w:szCs w:val="24"/>
        </w:rPr>
        <w:t>破坏了土地资源；</w:t>
      </w:r>
      <w:r>
        <w:rPr>
          <w:spacing w:val="0"/>
          <w:sz w:val="24"/>
          <w:szCs w:val="24"/>
        </w:rPr>
        <w:t>③</w:t>
      </w:r>
      <w:r>
        <w:rPr>
          <w:rFonts w:eastAsia="仿宋_GB2312"/>
          <w:spacing w:val="0"/>
          <w:sz w:val="24"/>
          <w:szCs w:val="24"/>
        </w:rPr>
        <w:t>破坏植被；</w:t>
      </w:r>
      <w:r>
        <w:rPr>
          <w:spacing w:val="0"/>
          <w:sz w:val="24"/>
          <w:szCs w:val="24"/>
        </w:rPr>
        <w:t>④</w:t>
      </w:r>
      <w:r>
        <w:rPr>
          <w:rFonts w:eastAsia="仿宋_GB2312"/>
          <w:spacing w:val="0"/>
          <w:sz w:val="24"/>
          <w:szCs w:val="24"/>
        </w:rPr>
        <w:t>对区域生态环境造成危害。</w:t>
      </w:r>
    </w:p>
    <w:p>
      <w:pPr>
        <w:pStyle w:val="6"/>
        <w:spacing w:before="0" w:after="0" w:line="360" w:lineRule="auto"/>
        <w:rPr>
          <w:rFonts w:ascii="Times New Roman" w:hAnsi="Times New Roman" w:eastAsia="仿宋_GB2312"/>
          <w:sz w:val="24"/>
          <w:szCs w:val="24"/>
        </w:rPr>
      </w:pPr>
      <w:r>
        <w:rPr>
          <w:rFonts w:ascii="Times New Roman" w:hAnsi="Times New Roman" w:eastAsia="仿宋_GB2312"/>
          <w:sz w:val="24"/>
          <w:szCs w:val="24"/>
        </w:rPr>
        <w:t>4.5.1.2新增水土流失特点分析</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1）时空分布一致</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建设期主要集中在</w:t>
      </w:r>
      <w:r>
        <w:rPr>
          <w:rFonts w:hint="eastAsia" w:ascii="Times New Roman" w:hAnsi="Times New Roman" w:eastAsia="仿宋_GB2312"/>
          <w:sz w:val="24"/>
          <w:lang w:eastAsia="zh-CN"/>
        </w:rPr>
        <w:t>采场</w:t>
      </w:r>
      <w:r>
        <w:rPr>
          <w:rFonts w:ascii="Times New Roman" w:hAnsi="Times New Roman" w:eastAsia="仿宋_GB2312"/>
          <w:sz w:val="24"/>
        </w:rPr>
        <w:t>，新增侵蚀活跃，施工结束后，侵蚀活动随之减弱，呈现先强后弱的特点。</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2）新增侵蚀的行业特点鲜明</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与同类项目相同，本项目建设的新增侵蚀主要集中体现在以下方面：施工扰动形成的加速侵蚀。</w:t>
      </w:r>
    </w:p>
    <w:p>
      <w:pPr>
        <w:pStyle w:val="6"/>
        <w:spacing w:before="0" w:after="0" w:line="360" w:lineRule="auto"/>
        <w:rPr>
          <w:rFonts w:ascii="Times New Roman" w:hAnsi="Times New Roman" w:eastAsia="仿宋_GB2312"/>
          <w:sz w:val="24"/>
          <w:szCs w:val="24"/>
        </w:rPr>
      </w:pPr>
      <w:r>
        <w:rPr>
          <w:rFonts w:ascii="Times New Roman" w:hAnsi="Times New Roman" w:eastAsia="仿宋_GB2312"/>
          <w:sz w:val="24"/>
          <w:szCs w:val="24"/>
        </w:rPr>
        <w:t>4.5.1.3水土流失重点时段</w:t>
      </w:r>
    </w:p>
    <w:p>
      <w:pPr>
        <w:adjustRightInd w:val="0"/>
        <w:spacing w:line="360" w:lineRule="auto"/>
        <w:ind w:firstLine="480" w:firstLineChars="200"/>
        <w:rPr>
          <w:rFonts w:ascii="Times New Roman" w:hAnsi="Times New Roman" w:eastAsia="仿宋_GB2312"/>
          <w:sz w:val="24"/>
        </w:rPr>
      </w:pPr>
      <w:r>
        <w:rPr>
          <w:rFonts w:ascii="Times New Roman" w:hAnsi="Times New Roman" w:eastAsia="仿宋_GB2312"/>
          <w:sz w:val="24"/>
        </w:rPr>
        <w:t>预测时段分建设期、</w:t>
      </w:r>
      <w:r>
        <w:rPr>
          <w:rFonts w:hint="eastAsia" w:ascii="Times New Roman" w:hAnsi="Times New Roman" w:eastAsia="仿宋_GB2312"/>
          <w:sz w:val="24"/>
          <w:lang w:eastAsia="zh-CN"/>
        </w:rPr>
        <w:t>运行期和</w:t>
      </w:r>
      <w:r>
        <w:rPr>
          <w:rFonts w:ascii="Times New Roman" w:hAnsi="Times New Roman" w:eastAsia="仿宋_GB2312"/>
          <w:sz w:val="24"/>
        </w:rPr>
        <w:t>自然恢复期</w:t>
      </w:r>
      <w:r>
        <w:rPr>
          <w:rFonts w:hint="eastAsia" w:ascii="Times New Roman" w:hAnsi="Times New Roman" w:eastAsia="仿宋_GB2312"/>
          <w:sz w:val="24"/>
          <w:lang w:eastAsia="zh-CN"/>
        </w:rPr>
        <w:t>三</w:t>
      </w:r>
      <w:r>
        <w:rPr>
          <w:rFonts w:ascii="Times New Roman" w:hAnsi="Times New Roman" w:eastAsia="仿宋_GB2312"/>
          <w:sz w:val="24"/>
        </w:rPr>
        <w:t>个时段。根据</w:t>
      </w:r>
      <w:r>
        <w:rPr>
          <w:rFonts w:hint="eastAsia" w:ascii="Times New Roman" w:hAnsi="Times New Roman" w:eastAsia="仿宋_GB2312"/>
          <w:sz w:val="24"/>
          <w:lang w:eastAsia="zh-CN"/>
        </w:rPr>
        <w:t>运行</w:t>
      </w:r>
      <w:r>
        <w:rPr>
          <w:rFonts w:ascii="Times New Roman" w:hAnsi="Times New Roman" w:eastAsia="仿宋_GB2312"/>
          <w:sz w:val="24"/>
        </w:rPr>
        <w:t>造成的新增水土流失量所占比例最大，并且</w:t>
      </w:r>
      <w:r>
        <w:rPr>
          <w:rFonts w:hint="eastAsia" w:ascii="Times New Roman" w:hAnsi="Times New Roman" w:eastAsia="仿宋_GB2312"/>
          <w:sz w:val="24"/>
          <w:lang w:eastAsia="zh-CN"/>
        </w:rPr>
        <w:t>运行</w:t>
      </w:r>
      <w:r>
        <w:rPr>
          <w:rFonts w:ascii="Times New Roman" w:hAnsi="Times New Roman" w:eastAsia="仿宋_GB2312"/>
          <w:sz w:val="24"/>
        </w:rPr>
        <w:t>期单位面积单位时间新增水土流失量建设期最大，产生水土流失的重点防治时段和重点监测时段为</w:t>
      </w:r>
      <w:r>
        <w:rPr>
          <w:rFonts w:hint="eastAsia" w:ascii="Times New Roman" w:hAnsi="Times New Roman" w:eastAsia="仿宋_GB2312"/>
          <w:sz w:val="24"/>
          <w:lang w:eastAsia="zh-CN"/>
        </w:rPr>
        <w:t>运行</w:t>
      </w:r>
      <w:r>
        <w:rPr>
          <w:rFonts w:ascii="Times New Roman" w:hAnsi="Times New Roman" w:eastAsia="仿宋_GB2312"/>
          <w:sz w:val="24"/>
        </w:rPr>
        <w:t>期。</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4.5.2综合分析及指导性意见</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（1）防治重点</w:t>
      </w:r>
    </w:p>
    <w:p>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lang w:eastAsia="zh-CN"/>
        </w:rPr>
        <w:t>运行</w:t>
      </w:r>
      <w:r>
        <w:rPr>
          <w:rFonts w:ascii="Times New Roman" w:hAnsi="Times New Roman" w:eastAsia="仿宋_GB2312"/>
          <w:sz w:val="24"/>
        </w:rPr>
        <w:t>期为本方案重点防治时段和重点监测时段。</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（2）重点防治区域</w:t>
      </w:r>
    </w:p>
    <w:p>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lang w:eastAsia="zh-CN"/>
        </w:rPr>
        <w:t>采场</w:t>
      </w:r>
      <w:r>
        <w:rPr>
          <w:rFonts w:ascii="Times New Roman" w:hAnsi="Times New Roman" w:eastAsia="仿宋_GB2312"/>
          <w:sz w:val="24"/>
        </w:rPr>
        <w:t>为重点防治区域。</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（3）应采取的防治工程类型</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对</w:t>
      </w:r>
      <w:r>
        <w:rPr>
          <w:rFonts w:hint="eastAsia" w:ascii="Times New Roman" w:hAnsi="Times New Roman" w:eastAsia="仿宋_GB2312"/>
          <w:sz w:val="24"/>
          <w:lang w:eastAsia="zh-CN"/>
        </w:rPr>
        <w:t>场地内</w:t>
      </w:r>
      <w:r>
        <w:rPr>
          <w:rFonts w:ascii="Times New Roman" w:hAnsi="Times New Roman" w:eastAsia="仿宋_GB2312"/>
          <w:sz w:val="24"/>
        </w:rPr>
        <w:t>以排水、覆土、绿化等措施为主进行防治。</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（4）防治工程的实施进度指导性意见</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绿化工程结合所选树草种的植物学特性、适宜栽植季节等因素及时进行栽植。</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（5）对监测的指导性意见</w:t>
      </w:r>
    </w:p>
    <w:p>
      <w:pPr>
        <w:pStyle w:val="2"/>
        <w:rPr>
          <w:rFonts w:hint="eastAsia"/>
        </w:rPr>
      </w:pPr>
      <w:r>
        <w:rPr>
          <w:rFonts w:ascii="Times New Roman" w:hAnsi="Times New Roman" w:eastAsia="仿宋_GB2312"/>
          <w:sz w:val="24"/>
        </w:rPr>
        <w:t>根据水土流失量的预测结果，特别是6～9月降雨季节，应加强监测，应对</w:t>
      </w:r>
      <w:r>
        <w:rPr>
          <w:rFonts w:hint="eastAsia" w:ascii="Times New Roman" w:hAnsi="Times New Roman" w:eastAsia="仿宋_GB2312"/>
          <w:sz w:val="24"/>
          <w:lang w:eastAsia="zh-CN"/>
        </w:rPr>
        <w:t>采场</w:t>
      </w:r>
      <w:r>
        <w:rPr>
          <w:rFonts w:ascii="Times New Roman" w:hAnsi="Times New Roman" w:eastAsia="仿宋_GB2312"/>
          <w:sz w:val="24"/>
        </w:rPr>
        <w:t>的</w:t>
      </w:r>
      <w:r>
        <w:rPr>
          <w:rFonts w:hint="eastAsia" w:ascii="Times New Roman" w:hAnsi="Times New Roman" w:eastAsia="仿宋_GB2312"/>
          <w:sz w:val="24"/>
          <w:lang w:eastAsia="zh-CN"/>
        </w:rPr>
        <w:t>运行</w:t>
      </w:r>
      <w:r>
        <w:rPr>
          <w:rFonts w:ascii="Times New Roman" w:hAnsi="Times New Roman" w:eastAsia="仿宋_GB2312"/>
          <w:sz w:val="24"/>
        </w:rPr>
        <w:t>期进行重点监测，其余防治区域进行一般监测。综上所述，本工程在建设和生产过程中，应加强水土流失防治，有效控制因项目建设而引起的水土流失问题，将项目建设对区域产生的负面影响降低到最低限度，以实现区域生态系</w:t>
      </w:r>
    </w:p>
    <w:p>
      <w:pPr>
        <w:rPr>
          <w:rFonts w:hint="eastAsia"/>
        </w:rPr>
      </w:pPr>
      <w:r>
        <w:rPr>
          <w:rFonts w:hint="eastAsia"/>
        </w:rPr>
        <w:br w:type="page"/>
      </w:r>
    </w:p>
    <w:p>
      <w:pPr>
        <w:pStyle w:val="3"/>
        <w:rPr>
          <w:rFonts w:ascii="Times New Roman" w:hAnsi="Times New Roman" w:eastAsia="仿宋_GB2312"/>
        </w:rPr>
      </w:pPr>
      <w:bookmarkStart w:id="102" w:name="_Toc1088"/>
      <w:bookmarkStart w:id="103" w:name="_Toc14667"/>
      <w:r>
        <w:rPr>
          <w:rFonts w:ascii="Times New Roman" w:hAnsi="Times New Roman" w:eastAsia="仿宋_GB2312"/>
        </w:rPr>
        <w:t>5水土保持措施</w:t>
      </w:r>
      <w:bookmarkEnd w:id="102"/>
      <w:bookmarkEnd w:id="103"/>
    </w:p>
    <w:p>
      <w:pPr>
        <w:pStyle w:val="4"/>
        <w:spacing w:before="120" w:after="120" w:line="360" w:lineRule="auto"/>
        <w:ind w:firstLine="0"/>
        <w:rPr>
          <w:rFonts w:ascii="Times New Roman" w:hAnsi="Times New Roman" w:eastAsia="仿宋_GB2312" w:cs="Times New Roman"/>
          <w:b/>
          <w:bCs/>
          <w:sz w:val="32"/>
          <w:szCs w:val="32"/>
        </w:rPr>
      </w:pPr>
      <w:bookmarkStart w:id="104" w:name="_Toc16854"/>
      <w:bookmarkStart w:id="105" w:name="_Toc11959"/>
      <w:r>
        <w:rPr>
          <w:rFonts w:ascii="Times New Roman" w:hAnsi="Times New Roman" w:eastAsia="仿宋_GB2312" w:cs="Times New Roman"/>
          <w:b/>
          <w:bCs/>
          <w:sz w:val="32"/>
          <w:szCs w:val="32"/>
        </w:rPr>
        <w:t>5.1防治区划分</w:t>
      </w:r>
      <w:bookmarkEnd w:id="104"/>
      <w:bookmarkEnd w:id="105"/>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5.1.1防治责任范围确定依据</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根据“谁开发谁保护、谁造成水土流失谁负责治理”的原则，凡在生产建设过程中造成水土流失的，都必须采取措施对水土流失进行治理。结合本工程的总体布局和项目特点，确定本工程水土流失防治责任范围为项目建设区，</w:t>
      </w:r>
      <w:r>
        <w:rPr>
          <w:rFonts w:hint="eastAsia" w:ascii="Times New Roman" w:hAnsi="Times New Roman" w:eastAsia="仿宋_GB2312"/>
          <w:sz w:val="24"/>
          <w:szCs w:val="24"/>
          <w:lang w:eastAsia="zh-CN"/>
        </w:rPr>
        <w:t>即</w:t>
      </w:r>
      <w:r>
        <w:rPr>
          <w:rFonts w:ascii="Times New Roman" w:hAnsi="Times New Roman" w:eastAsia="仿宋_GB2312"/>
          <w:sz w:val="24"/>
          <w:szCs w:val="24"/>
        </w:rPr>
        <w:t>工程永久占地。</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5.1.2防治责任范围</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本项目建设区包括：</w:t>
      </w:r>
      <w:r>
        <w:rPr>
          <w:rFonts w:hint="eastAsia" w:ascii="Times New Roman" w:hAnsi="Times New Roman" w:eastAsia="仿宋_GB2312"/>
          <w:sz w:val="24"/>
          <w:szCs w:val="24"/>
        </w:rPr>
        <w:t>采场防治区、加工场地防治区（新建）、场地道路防治区（新建）、输电线路防治区（利用原有）</w:t>
      </w:r>
      <w:r>
        <w:rPr>
          <w:rFonts w:ascii="Times New Roman" w:hAnsi="Times New Roman" w:eastAsia="仿宋_GB2312"/>
          <w:sz w:val="24"/>
        </w:rPr>
        <w:t>。</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本项目工程占地</w:t>
      </w:r>
      <w:r>
        <w:rPr>
          <w:rFonts w:hint="eastAsia" w:eastAsia="仿宋_GB2312"/>
          <w:sz w:val="24"/>
          <w:szCs w:val="24"/>
          <w:lang w:val="en-US" w:eastAsia="zh-CN"/>
        </w:rPr>
        <w:t>3.51</w:t>
      </w:r>
      <w:r>
        <w:rPr>
          <w:rFonts w:ascii="Times New Roman" w:hAnsi="Times New Roman" w:eastAsia="仿宋_GB2312"/>
          <w:sz w:val="24"/>
          <w:szCs w:val="24"/>
        </w:rPr>
        <w:t>hm</w:t>
      </w:r>
      <w:r>
        <w:rPr>
          <w:rFonts w:ascii="Times New Roman" w:hAnsi="Times New Roman" w:eastAsia="仿宋_GB2312"/>
          <w:sz w:val="24"/>
          <w:szCs w:val="24"/>
          <w:vertAlign w:val="superscript"/>
        </w:rPr>
        <w:t>2</w:t>
      </w:r>
      <w:r>
        <w:rPr>
          <w:rFonts w:ascii="Times New Roman" w:hAnsi="Times New Roman" w:eastAsia="仿宋_GB2312"/>
          <w:sz w:val="24"/>
          <w:szCs w:val="24"/>
        </w:rPr>
        <w:t>，</w:t>
      </w:r>
      <w:r>
        <w:rPr>
          <w:rFonts w:hint="eastAsia" w:ascii="Times New Roman" w:hAnsi="Times New Roman" w:eastAsia="仿宋_GB2312"/>
          <w:sz w:val="24"/>
          <w:szCs w:val="24"/>
          <w:lang w:eastAsia="zh-CN"/>
        </w:rPr>
        <w:t>全部为永久占地</w:t>
      </w:r>
      <w:r>
        <w:rPr>
          <w:rFonts w:ascii="Times New Roman" w:hAnsi="Times New Roman" w:eastAsia="仿宋_GB2312"/>
          <w:sz w:val="24"/>
          <w:szCs w:val="24"/>
        </w:rPr>
        <w:t>。占地类型包括</w:t>
      </w:r>
      <w:r>
        <w:rPr>
          <w:rFonts w:hint="eastAsia" w:ascii="Times New Roman" w:hAnsi="Times New Roman" w:eastAsia="仿宋_GB2312"/>
          <w:sz w:val="24"/>
          <w:szCs w:val="24"/>
          <w:lang w:eastAsia="zh-CN"/>
        </w:rPr>
        <w:t>工矿用地、交通运输用地和</w:t>
      </w:r>
      <w:r>
        <w:rPr>
          <w:rFonts w:ascii="Times New Roman" w:hAnsi="Times New Roman" w:eastAsia="仿宋_GB2312"/>
          <w:sz w:val="24"/>
          <w:szCs w:val="24"/>
        </w:rPr>
        <w:t>其地草地。</w:t>
      </w:r>
    </w:p>
    <w:p>
      <w:pPr>
        <w:pStyle w:val="5"/>
        <w:spacing w:before="0" w:after="120" w:line="360" w:lineRule="auto"/>
        <w:rPr>
          <w:rFonts w:ascii="Times New Roman" w:hAnsi="Times New Roman" w:eastAsia="仿宋_GB2312"/>
          <w:sz w:val="30"/>
          <w:szCs w:val="30"/>
        </w:rPr>
      </w:pPr>
      <w:bookmarkStart w:id="106" w:name="_Toc393982841"/>
      <w:bookmarkStart w:id="107" w:name="_Toc393463104"/>
      <w:bookmarkStart w:id="108" w:name="_Toc357495459"/>
      <w:bookmarkStart w:id="109" w:name="_Toc328128166"/>
      <w:bookmarkStart w:id="110" w:name="_Toc320697269"/>
      <w:bookmarkStart w:id="111" w:name="_Toc530486087"/>
      <w:r>
        <w:rPr>
          <w:rFonts w:ascii="Times New Roman" w:hAnsi="Times New Roman" w:eastAsia="仿宋_GB2312"/>
          <w:sz w:val="30"/>
          <w:szCs w:val="30"/>
        </w:rPr>
        <w:t>5.1.3防治分区</w:t>
      </w:r>
      <w:bookmarkEnd w:id="106"/>
      <w:bookmarkEnd w:id="107"/>
      <w:bookmarkEnd w:id="108"/>
      <w:bookmarkEnd w:id="109"/>
      <w:bookmarkEnd w:id="110"/>
      <w:bookmarkEnd w:id="111"/>
    </w:p>
    <w:p>
      <w:pPr>
        <w:spacing w:line="360" w:lineRule="auto"/>
        <w:ind w:firstLine="482" w:firstLineChars="200"/>
        <w:rPr>
          <w:rFonts w:ascii="Times New Roman" w:hAnsi="Times New Roman" w:eastAsia="仿宋_GB2312"/>
          <w:b/>
          <w:bCs/>
          <w:sz w:val="24"/>
          <w:szCs w:val="24"/>
        </w:rPr>
      </w:pPr>
      <w:r>
        <w:rPr>
          <w:rFonts w:ascii="Times New Roman" w:hAnsi="Times New Roman" w:eastAsia="仿宋_GB2312"/>
          <w:b/>
          <w:bCs/>
          <w:sz w:val="24"/>
          <w:szCs w:val="24"/>
        </w:rPr>
        <w:t>1、分区目的</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1）为了科学合理地布设防治措施，可以通过措施设计，推算工程量；</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2）为水土流失预测和水土保持监测奠定基础，合理布设措施，分区防治。</w:t>
      </w:r>
    </w:p>
    <w:p>
      <w:pPr>
        <w:spacing w:line="360" w:lineRule="auto"/>
        <w:ind w:firstLine="482" w:firstLineChars="200"/>
        <w:rPr>
          <w:rFonts w:ascii="Times New Roman" w:hAnsi="Times New Roman" w:eastAsia="仿宋_GB2312"/>
          <w:b/>
          <w:bCs/>
          <w:sz w:val="24"/>
          <w:szCs w:val="24"/>
        </w:rPr>
      </w:pPr>
      <w:r>
        <w:rPr>
          <w:rFonts w:ascii="Times New Roman" w:hAnsi="Times New Roman" w:eastAsia="仿宋_GB2312"/>
          <w:b/>
          <w:bCs/>
          <w:sz w:val="24"/>
          <w:szCs w:val="24"/>
        </w:rPr>
        <w:t>2、分区依据</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本工程防治分区是根据项目区的实地调查结果，在确定的水土流失防治责任范围内，依据主体工程布局、施工扰动特点、建设时序、地貌特征、自然属性、水土流失影响等进行分区。</w:t>
      </w:r>
    </w:p>
    <w:p>
      <w:pPr>
        <w:spacing w:line="360" w:lineRule="auto"/>
        <w:ind w:firstLine="482" w:firstLineChars="200"/>
        <w:rPr>
          <w:rFonts w:ascii="Times New Roman" w:hAnsi="Times New Roman" w:eastAsia="仿宋_GB2312"/>
          <w:b/>
          <w:bCs/>
          <w:sz w:val="24"/>
          <w:szCs w:val="24"/>
        </w:rPr>
      </w:pPr>
      <w:r>
        <w:rPr>
          <w:rFonts w:ascii="Times New Roman" w:hAnsi="Times New Roman" w:eastAsia="仿宋_GB2312"/>
          <w:b/>
          <w:bCs/>
          <w:sz w:val="24"/>
          <w:szCs w:val="24"/>
        </w:rPr>
        <w:t>3、分区原则</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1）区内具有明显相似性，各分区之间具有显著差异性的原则；</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2）各分区内影响水土流失类型、强度及时间的主导因子相近或相似性原则；</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3）综合性与层次性原则；</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4）各分区内防治措施应基本相同，具有较为一致的改造利用途径和措施；</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5）分区时应遵循集中连片、便于水土保持措施体系布置和施工的原则。</w:t>
      </w:r>
    </w:p>
    <w:p>
      <w:pPr>
        <w:spacing w:line="360" w:lineRule="auto"/>
        <w:ind w:firstLine="482" w:firstLineChars="200"/>
        <w:rPr>
          <w:rFonts w:ascii="Times New Roman" w:hAnsi="Times New Roman" w:eastAsia="仿宋_GB2312"/>
          <w:b/>
          <w:bCs/>
          <w:sz w:val="24"/>
          <w:szCs w:val="24"/>
        </w:rPr>
      </w:pPr>
      <w:r>
        <w:rPr>
          <w:rFonts w:ascii="Times New Roman" w:hAnsi="Times New Roman" w:eastAsia="仿宋_GB2312"/>
          <w:b/>
          <w:bCs/>
          <w:sz w:val="24"/>
          <w:szCs w:val="24"/>
        </w:rPr>
        <w:t>4、分区结果</w:t>
      </w:r>
    </w:p>
    <w:p>
      <w:pPr>
        <w:spacing w:line="360" w:lineRule="auto"/>
        <w:ind w:firstLine="480" w:firstLineChars="200"/>
        <w:rPr>
          <w:rFonts w:ascii="Times New Roman" w:hAnsi="Times New Roman" w:eastAsia="仿宋_GB2312"/>
          <w:sz w:val="24"/>
          <w:szCs w:val="24"/>
        </w:rPr>
      </w:pPr>
      <w:r>
        <w:rPr>
          <w:rFonts w:ascii="Times New Roman" w:hAnsi="Times New Roman" w:eastAsia="仿宋_GB2312"/>
          <w:sz w:val="24"/>
          <w:szCs w:val="24"/>
        </w:rPr>
        <w:t>根据本工程的特点、区域自然条件以及不同场地土壤流失特征、土地整治后的发展利用方向、水土流失防治重点等因素，确定水土流失防治分区为：</w:t>
      </w:r>
    </w:p>
    <w:p>
      <w:pPr>
        <w:spacing w:line="360" w:lineRule="auto"/>
        <w:ind w:firstLine="480" w:firstLineChars="200"/>
        <w:rPr>
          <w:rFonts w:hint="eastAsia" w:ascii="Times New Roman" w:hAnsi="Times New Roman" w:eastAsia="仿宋_GB2312"/>
          <w:sz w:val="24"/>
          <w:szCs w:val="24"/>
          <w:lang w:eastAsia="zh-CN"/>
        </w:rPr>
      </w:pPr>
      <w:r>
        <w:rPr>
          <w:rFonts w:ascii="Times New Roman" w:hAnsi="Times New Roman" w:eastAsia="仿宋_GB2312"/>
          <w:sz w:val="24"/>
          <w:szCs w:val="24"/>
        </w:rPr>
        <w:t>1）</w:t>
      </w:r>
      <w:r>
        <w:rPr>
          <w:rFonts w:hint="eastAsia" w:ascii="Times New Roman" w:hAnsi="Times New Roman" w:eastAsia="仿宋_GB2312"/>
          <w:sz w:val="24"/>
          <w:szCs w:val="24"/>
        </w:rPr>
        <w:t>采场</w:t>
      </w:r>
      <w:r>
        <w:rPr>
          <w:rFonts w:hint="eastAsia" w:ascii="Times New Roman" w:hAnsi="Times New Roman" w:eastAsia="仿宋_GB2312"/>
          <w:sz w:val="24"/>
          <w:szCs w:val="24"/>
          <w:lang w:eastAsia="zh-CN"/>
        </w:rPr>
        <w:t>防治区</w:t>
      </w:r>
      <w:r>
        <w:rPr>
          <w:rFonts w:ascii="Times New Roman" w:hAnsi="Times New Roman" w:eastAsia="仿宋_GB2312"/>
          <w:sz w:val="24"/>
          <w:szCs w:val="24"/>
        </w:rPr>
        <w:t>；2）</w:t>
      </w:r>
      <w:r>
        <w:rPr>
          <w:rFonts w:hint="eastAsia" w:eastAsia="仿宋_GB2312"/>
          <w:sz w:val="24"/>
          <w:szCs w:val="24"/>
          <w:lang w:eastAsia="zh-CN"/>
        </w:rPr>
        <w:t>加工场地</w:t>
      </w:r>
      <w:r>
        <w:rPr>
          <w:rFonts w:ascii="Times New Roman" w:hAnsi="Times New Roman" w:eastAsia="仿宋_GB2312"/>
          <w:sz w:val="24"/>
          <w:szCs w:val="24"/>
        </w:rPr>
        <w:t>防治区；</w:t>
      </w:r>
      <w:r>
        <w:rPr>
          <w:rFonts w:hint="eastAsia" w:ascii="Times New Roman" w:hAnsi="Times New Roman" w:eastAsia="仿宋_GB2312"/>
          <w:sz w:val="24"/>
          <w:szCs w:val="24"/>
          <w:lang w:val="en-US" w:eastAsia="zh-CN"/>
        </w:rPr>
        <w:t>3</w:t>
      </w:r>
      <w:r>
        <w:rPr>
          <w:rFonts w:ascii="Times New Roman" w:hAnsi="Times New Roman" w:eastAsia="仿宋_GB2312"/>
          <w:sz w:val="24"/>
          <w:szCs w:val="24"/>
        </w:rPr>
        <w:t>）</w:t>
      </w:r>
      <w:r>
        <w:rPr>
          <w:rFonts w:hint="eastAsia" w:eastAsia="仿宋_GB2312"/>
          <w:sz w:val="24"/>
          <w:szCs w:val="24"/>
          <w:lang w:eastAsia="zh-CN"/>
        </w:rPr>
        <w:t>场地道路</w:t>
      </w:r>
      <w:r>
        <w:rPr>
          <w:rFonts w:ascii="Times New Roman" w:hAnsi="Times New Roman" w:eastAsia="仿宋_GB2312"/>
          <w:sz w:val="24"/>
          <w:szCs w:val="24"/>
        </w:rPr>
        <w:t>防治区</w:t>
      </w:r>
      <w:r>
        <w:rPr>
          <w:rFonts w:hint="eastAsia" w:ascii="Times New Roman" w:hAnsi="Times New Roman" w:eastAsia="仿宋_GB2312"/>
          <w:sz w:val="24"/>
          <w:szCs w:val="24"/>
          <w:lang w:eastAsia="zh-CN"/>
        </w:rPr>
        <w:t>；</w:t>
      </w:r>
      <w:r>
        <w:rPr>
          <w:rFonts w:hint="eastAsia" w:eastAsia="仿宋_GB2312"/>
          <w:sz w:val="24"/>
          <w:szCs w:val="24"/>
          <w:lang w:val="en-US" w:eastAsia="zh-CN"/>
        </w:rPr>
        <w:t>4</w:t>
      </w:r>
      <w:r>
        <w:rPr>
          <w:rFonts w:ascii="Times New Roman" w:hAnsi="Times New Roman" w:eastAsia="仿宋_GB2312"/>
          <w:sz w:val="24"/>
          <w:szCs w:val="24"/>
        </w:rPr>
        <w:t>）</w:t>
      </w:r>
      <w:r>
        <w:rPr>
          <w:rFonts w:hint="eastAsia" w:eastAsia="仿宋_GB2312"/>
          <w:sz w:val="24"/>
          <w:szCs w:val="24"/>
          <w:lang w:eastAsia="zh-CN"/>
        </w:rPr>
        <w:t>输电线路</w:t>
      </w:r>
      <w:r>
        <w:rPr>
          <w:rFonts w:ascii="Times New Roman" w:hAnsi="Times New Roman" w:eastAsia="仿宋_GB2312"/>
          <w:sz w:val="24"/>
          <w:szCs w:val="24"/>
        </w:rPr>
        <w:t>防治区</w:t>
      </w:r>
      <w:r>
        <w:rPr>
          <w:rFonts w:hint="eastAsia" w:ascii="Times New Roman" w:hAnsi="Times New Roman" w:eastAsia="仿宋_GB2312"/>
          <w:sz w:val="24"/>
          <w:szCs w:val="24"/>
          <w:lang w:eastAsia="zh-CN"/>
        </w:rPr>
        <w:t>；</w:t>
      </w:r>
    </w:p>
    <w:p>
      <w:pPr>
        <w:pStyle w:val="4"/>
        <w:spacing w:before="120" w:after="120" w:line="360" w:lineRule="auto"/>
        <w:ind w:firstLine="0"/>
        <w:rPr>
          <w:rFonts w:ascii="Times New Roman" w:hAnsi="Times New Roman" w:eastAsia="仿宋_GB2312" w:cs="Times New Roman"/>
          <w:b/>
          <w:bCs/>
          <w:sz w:val="32"/>
          <w:szCs w:val="32"/>
        </w:rPr>
      </w:pPr>
      <w:bookmarkStart w:id="112" w:name="_Toc27958"/>
      <w:bookmarkStart w:id="113" w:name="_Toc1678"/>
      <w:r>
        <w:rPr>
          <w:rFonts w:ascii="Times New Roman" w:hAnsi="Times New Roman" w:eastAsia="仿宋_GB2312" w:cs="Times New Roman"/>
          <w:b/>
          <w:bCs/>
          <w:sz w:val="32"/>
          <w:szCs w:val="32"/>
        </w:rPr>
        <w:t>5.2措施总体布局</w:t>
      </w:r>
      <w:bookmarkEnd w:id="112"/>
      <w:bookmarkEnd w:id="113"/>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工程措施、植物措施相结合，加强施工时序安排及管理措施等，对防治对象进行综合整治。水土流失防治措施体系见图5-1，水土流失防治分区及防治措施布局见附图</w:t>
      </w:r>
      <w:r>
        <w:rPr>
          <w:rFonts w:hint="eastAsia" w:ascii="Times New Roman" w:hAnsi="Times New Roman" w:eastAsia="仿宋_GB2312"/>
          <w:kern w:val="0"/>
          <w:sz w:val="24"/>
          <w:szCs w:val="24"/>
          <w:lang w:val="en-US" w:eastAsia="zh-CN"/>
        </w:rPr>
        <w:t>5</w:t>
      </w:r>
      <w:r>
        <w:rPr>
          <w:rFonts w:ascii="Times New Roman" w:hAnsi="Times New Roman" w:eastAsia="仿宋_GB2312"/>
          <w:kern w:val="0"/>
          <w:sz w:val="24"/>
          <w:szCs w:val="24"/>
        </w:rPr>
        <w:t>。</w:t>
      </w:r>
    </w:p>
    <w:p>
      <w:pPr>
        <w:widowControl/>
        <w:spacing w:line="360" w:lineRule="auto"/>
        <w:ind w:firstLine="480" w:firstLineChars="200"/>
        <w:jc w:val="center"/>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drawing>
          <wp:inline distT="0" distB="0" distL="114300" distR="114300">
            <wp:extent cx="5645785" cy="4324350"/>
            <wp:effectExtent l="0" t="0" r="0" b="0"/>
            <wp:docPr id="1" name="图片 1" descr="水土保持防治措施体系图(中条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水土保持防治措施体系图(中条山)"/>
                    <pic:cNvPicPr>
                      <a:picLocks noChangeAspect="1"/>
                    </pic:cNvPicPr>
                  </pic:nvPicPr>
                  <pic:blipFill>
                    <a:blip r:embed="rId13"/>
                    <a:stretch>
                      <a:fillRect/>
                    </a:stretch>
                  </pic:blipFill>
                  <pic:spPr>
                    <a:xfrm>
                      <a:off x="0" y="0"/>
                      <a:ext cx="5645785" cy="4324350"/>
                    </a:xfrm>
                    <a:prstGeom prst="rect">
                      <a:avLst/>
                    </a:prstGeom>
                  </pic:spPr>
                </pic:pic>
              </a:graphicData>
            </a:graphic>
          </wp:inline>
        </w:drawing>
      </w:r>
    </w:p>
    <w:p>
      <w:pPr>
        <w:spacing w:line="360" w:lineRule="auto"/>
        <w:jc w:val="center"/>
        <w:rPr>
          <w:rFonts w:ascii="Times New Roman" w:hAnsi="Times New Roman" w:eastAsia="仿宋_GB2312"/>
          <w:b/>
          <w:sz w:val="24"/>
        </w:rPr>
      </w:pPr>
      <w:r>
        <w:rPr>
          <w:rFonts w:ascii="Times New Roman" w:hAnsi="Times New Roman" w:eastAsia="仿宋_GB2312"/>
          <w:b/>
          <w:sz w:val="24"/>
        </w:rPr>
        <w:t>图5-1  水土流失防治措施体系图</w:t>
      </w:r>
    </w:p>
    <w:p>
      <w:pPr>
        <w:pStyle w:val="4"/>
        <w:spacing w:before="120" w:after="120" w:line="360" w:lineRule="auto"/>
        <w:ind w:firstLine="0"/>
        <w:rPr>
          <w:rFonts w:ascii="Times New Roman" w:hAnsi="Times New Roman" w:eastAsia="仿宋_GB2312" w:cs="Times New Roman"/>
          <w:b/>
          <w:bCs/>
          <w:sz w:val="32"/>
          <w:szCs w:val="32"/>
        </w:rPr>
      </w:pPr>
      <w:bookmarkStart w:id="114" w:name="_Toc21250"/>
      <w:bookmarkStart w:id="115" w:name="_Toc2885"/>
      <w:r>
        <w:rPr>
          <w:rFonts w:ascii="Times New Roman" w:hAnsi="Times New Roman" w:eastAsia="仿宋_GB2312" w:cs="Times New Roman"/>
          <w:b/>
          <w:bCs/>
          <w:sz w:val="32"/>
          <w:szCs w:val="32"/>
        </w:rPr>
        <w:t>5.3分区措施布设</w:t>
      </w:r>
      <w:bookmarkEnd w:id="114"/>
      <w:bookmarkEnd w:id="115"/>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5.3.</w:t>
      </w:r>
      <w:r>
        <w:rPr>
          <w:rFonts w:hint="eastAsia" w:eastAsia="仿宋_GB2312"/>
          <w:sz w:val="30"/>
          <w:szCs w:val="30"/>
          <w:lang w:val="en-US" w:eastAsia="zh-CN"/>
        </w:rPr>
        <w:t>1</w:t>
      </w:r>
      <w:r>
        <w:rPr>
          <w:rFonts w:hint="eastAsia" w:ascii="Times New Roman" w:hAnsi="Times New Roman" w:eastAsia="仿宋_GB2312"/>
          <w:sz w:val="30"/>
          <w:szCs w:val="30"/>
        </w:rPr>
        <w:t>采场防治区</w:t>
      </w:r>
    </w:p>
    <w:p>
      <w:pPr>
        <w:widowControl/>
        <w:spacing w:line="360" w:lineRule="auto"/>
        <w:ind w:firstLine="480" w:firstLineChars="200"/>
        <w:jc w:val="left"/>
        <w:rPr>
          <w:rFonts w:hint="eastAsia" w:ascii="Times New Roman" w:hAnsi="Times New Roman" w:eastAsia="仿宋_GB2312"/>
          <w:kern w:val="0"/>
          <w:sz w:val="24"/>
          <w:szCs w:val="24"/>
        </w:rPr>
      </w:pPr>
      <w:r>
        <w:rPr>
          <w:rFonts w:hint="eastAsia" w:ascii="Times New Roman" w:hAnsi="Times New Roman" w:eastAsia="仿宋_GB2312"/>
          <w:kern w:val="0"/>
          <w:sz w:val="24"/>
          <w:szCs w:val="24"/>
        </w:rPr>
        <w:t>矿山服务期满及矿体开采结束时，采场面积达到</w:t>
      </w:r>
      <w:r>
        <w:rPr>
          <w:rFonts w:hint="eastAsia" w:ascii="Times New Roman" w:hAnsi="Times New Roman" w:eastAsia="仿宋_GB2312"/>
          <w:kern w:val="0"/>
          <w:sz w:val="24"/>
          <w:szCs w:val="24"/>
          <w:lang w:val="en-US" w:eastAsia="zh-CN"/>
        </w:rPr>
        <w:t>2.32</w:t>
      </w:r>
      <w:r>
        <w:rPr>
          <w:rFonts w:hint="eastAsia" w:ascii="Times New Roman" w:hAnsi="Times New Roman" w:eastAsia="仿宋_GB2312"/>
          <w:kern w:val="0"/>
          <w:sz w:val="24"/>
          <w:szCs w:val="24"/>
        </w:rPr>
        <w:t>hm²，其中开采平台面积</w:t>
      </w:r>
      <w:r>
        <w:rPr>
          <w:rFonts w:hint="eastAsia" w:ascii="Times New Roman" w:hAnsi="Times New Roman" w:eastAsia="仿宋_GB2312"/>
          <w:kern w:val="0"/>
          <w:sz w:val="24"/>
          <w:szCs w:val="24"/>
          <w:lang w:val="en-US" w:eastAsia="zh-CN"/>
        </w:rPr>
        <w:t>1.51</w:t>
      </w:r>
      <w:r>
        <w:rPr>
          <w:rFonts w:hint="eastAsia" w:ascii="Times New Roman" w:hAnsi="Times New Roman" w:eastAsia="仿宋_GB2312"/>
          <w:kern w:val="0"/>
          <w:sz w:val="24"/>
          <w:szCs w:val="24"/>
        </w:rPr>
        <w:t>hm²，边坡面积</w:t>
      </w:r>
      <w:r>
        <w:rPr>
          <w:rFonts w:hint="eastAsia" w:ascii="Times New Roman" w:hAnsi="Times New Roman" w:eastAsia="仿宋_GB2312"/>
          <w:kern w:val="0"/>
          <w:sz w:val="24"/>
          <w:szCs w:val="24"/>
          <w:lang w:val="en-US" w:eastAsia="zh-CN"/>
        </w:rPr>
        <w:t>0.81</w:t>
      </w:r>
      <w:r>
        <w:rPr>
          <w:rFonts w:hint="eastAsia" w:ascii="Times New Roman" w:hAnsi="Times New Roman" w:eastAsia="仿宋_GB2312"/>
          <w:kern w:val="0"/>
          <w:sz w:val="24"/>
          <w:szCs w:val="24"/>
        </w:rPr>
        <w:t>hm²，</w:t>
      </w:r>
      <w:r>
        <w:rPr>
          <w:rFonts w:hint="eastAsia" w:ascii="Times New Roman" w:hAnsi="Times New Roman" w:eastAsia="仿宋_GB2312"/>
          <w:kern w:val="0"/>
          <w:sz w:val="24"/>
          <w:szCs w:val="24"/>
          <w:lang w:eastAsia="zh-CN"/>
        </w:rPr>
        <w:t>边坡长</w:t>
      </w:r>
      <w:r>
        <w:rPr>
          <w:rFonts w:hint="eastAsia" w:ascii="Times New Roman" w:hAnsi="Times New Roman" w:eastAsia="仿宋_GB2312"/>
          <w:kern w:val="0"/>
          <w:sz w:val="24"/>
          <w:szCs w:val="24"/>
          <w:lang w:val="en-US" w:eastAsia="zh-CN"/>
        </w:rPr>
        <w:t>2255m</w:t>
      </w:r>
      <w:r>
        <w:rPr>
          <w:rFonts w:hint="eastAsia" w:ascii="Times New Roman" w:hAnsi="Times New Roman" w:eastAsia="仿宋_GB2312"/>
          <w:kern w:val="0"/>
          <w:sz w:val="24"/>
          <w:szCs w:val="24"/>
        </w:rPr>
        <w:t>，本方案新增采场平台排水沟</w:t>
      </w:r>
      <w:r>
        <w:rPr>
          <w:rFonts w:hint="eastAsia" w:ascii="Times New Roman" w:hAnsi="Times New Roman" w:eastAsia="仿宋_GB2312"/>
          <w:kern w:val="0"/>
          <w:sz w:val="24"/>
          <w:szCs w:val="24"/>
          <w:lang w:eastAsia="zh-CN"/>
        </w:rPr>
        <w:t>、截水沟</w:t>
      </w:r>
      <w:r>
        <w:rPr>
          <w:rFonts w:hint="eastAsia" w:ascii="Times New Roman" w:hAnsi="Times New Roman" w:eastAsia="仿宋_GB2312"/>
          <w:kern w:val="0"/>
          <w:sz w:val="24"/>
          <w:szCs w:val="24"/>
        </w:rPr>
        <w:t>及闭场后的覆土、绿化措施。</w:t>
      </w:r>
    </w:p>
    <w:p>
      <w:pPr>
        <w:widowControl/>
        <w:spacing w:line="360" w:lineRule="auto"/>
        <w:ind w:firstLine="480" w:firstLineChars="200"/>
        <w:jc w:val="left"/>
        <w:rPr>
          <w:rFonts w:hint="eastAsia" w:ascii="Times New Roman" w:hAnsi="Times New Roman" w:eastAsia="仿宋_GB2312"/>
          <w:kern w:val="0"/>
          <w:sz w:val="24"/>
          <w:szCs w:val="24"/>
        </w:rPr>
      </w:pPr>
      <w:r>
        <w:rPr>
          <w:rFonts w:hint="eastAsia" w:ascii="Times New Roman" w:hAnsi="Times New Roman" w:eastAsia="仿宋_GB2312"/>
          <w:kern w:val="0"/>
          <w:sz w:val="24"/>
          <w:szCs w:val="24"/>
        </w:rPr>
        <w:t>（一）工程措施</w:t>
      </w:r>
    </w:p>
    <w:p>
      <w:pPr>
        <w:widowControl/>
        <w:spacing w:line="360" w:lineRule="auto"/>
        <w:ind w:firstLine="480" w:firstLineChars="200"/>
        <w:jc w:val="left"/>
        <w:rPr>
          <w:rFonts w:hint="eastAsia" w:ascii="Times New Roman" w:hAnsi="Times New Roman" w:eastAsia="仿宋_GB2312"/>
          <w:kern w:val="0"/>
          <w:sz w:val="24"/>
          <w:szCs w:val="24"/>
        </w:rPr>
      </w:pPr>
      <w:r>
        <w:rPr>
          <w:rFonts w:hint="eastAsia" w:ascii="Times New Roman" w:hAnsi="Times New Roman" w:eastAsia="仿宋_GB2312"/>
          <w:kern w:val="0"/>
          <w:sz w:val="24"/>
          <w:szCs w:val="24"/>
        </w:rPr>
        <w:t>（1）采场平台及边坡</w:t>
      </w:r>
    </w:p>
    <w:p>
      <w:pPr>
        <w:widowControl/>
        <w:spacing w:line="360" w:lineRule="auto"/>
        <w:ind w:firstLine="480" w:firstLineChars="200"/>
        <w:jc w:val="left"/>
        <w:rPr>
          <w:rFonts w:hint="eastAsia" w:ascii="Times New Roman" w:hAnsi="Times New Roman" w:eastAsia="仿宋_GB2312"/>
          <w:kern w:val="0"/>
          <w:sz w:val="24"/>
          <w:szCs w:val="24"/>
        </w:rPr>
      </w:pPr>
      <w:r>
        <w:rPr>
          <w:rFonts w:hint="eastAsia" w:ascii="Times New Roman" w:hAnsi="Times New Roman" w:eastAsia="仿宋_GB2312"/>
          <w:kern w:val="0"/>
          <w:sz w:val="24"/>
          <w:szCs w:val="24"/>
        </w:rPr>
        <w:t>最终形成采场面积为</w:t>
      </w:r>
      <w:r>
        <w:rPr>
          <w:rFonts w:hint="eastAsia" w:ascii="Times New Roman" w:hAnsi="Times New Roman" w:eastAsia="仿宋_GB2312"/>
          <w:kern w:val="0"/>
          <w:sz w:val="24"/>
          <w:szCs w:val="24"/>
          <w:lang w:val="en-US" w:eastAsia="zh-CN"/>
        </w:rPr>
        <w:t>2.32</w:t>
      </w:r>
      <w:r>
        <w:rPr>
          <w:rFonts w:hint="eastAsia" w:ascii="Times New Roman" w:hAnsi="Times New Roman" w:eastAsia="仿宋_GB2312"/>
          <w:kern w:val="0"/>
          <w:sz w:val="24"/>
          <w:szCs w:val="24"/>
        </w:rPr>
        <w:t>hm²，其中平台面积为</w:t>
      </w:r>
      <w:r>
        <w:rPr>
          <w:rFonts w:hint="eastAsia" w:ascii="Times New Roman" w:hAnsi="Times New Roman" w:eastAsia="仿宋_GB2312"/>
          <w:kern w:val="0"/>
          <w:sz w:val="24"/>
          <w:szCs w:val="24"/>
          <w:lang w:val="en-US" w:eastAsia="zh-CN"/>
        </w:rPr>
        <w:t>1.51</w:t>
      </w:r>
      <w:r>
        <w:rPr>
          <w:rFonts w:hint="eastAsia" w:ascii="Times New Roman" w:hAnsi="Times New Roman" w:eastAsia="仿宋_GB2312"/>
          <w:kern w:val="0"/>
          <w:sz w:val="24"/>
          <w:szCs w:val="24"/>
        </w:rPr>
        <w:t>hm²，边坡面积</w:t>
      </w:r>
      <w:r>
        <w:rPr>
          <w:rFonts w:hint="eastAsia" w:ascii="Times New Roman" w:hAnsi="Times New Roman" w:eastAsia="仿宋_GB2312"/>
          <w:kern w:val="0"/>
          <w:sz w:val="24"/>
          <w:szCs w:val="24"/>
          <w:lang w:val="en-US" w:eastAsia="zh-CN"/>
        </w:rPr>
        <w:t>0.81</w:t>
      </w:r>
      <w:r>
        <w:rPr>
          <w:rFonts w:hint="eastAsia" w:ascii="Times New Roman" w:hAnsi="Times New Roman" w:eastAsia="仿宋_GB2312"/>
          <w:kern w:val="0"/>
          <w:sz w:val="24"/>
          <w:szCs w:val="24"/>
        </w:rPr>
        <w:t>hm²。</w:t>
      </w:r>
    </w:p>
    <w:p>
      <w:pPr>
        <w:widowControl/>
        <w:spacing w:line="360" w:lineRule="auto"/>
        <w:ind w:firstLine="480" w:firstLineChars="200"/>
        <w:jc w:val="left"/>
        <w:rPr>
          <w:rFonts w:hint="eastAsia" w:ascii="Times New Roman" w:hAnsi="Times New Roman" w:eastAsia="仿宋_GB2312"/>
          <w:kern w:val="0"/>
          <w:sz w:val="24"/>
          <w:szCs w:val="24"/>
        </w:rPr>
      </w:pPr>
      <w:r>
        <w:rPr>
          <w:rFonts w:hint="eastAsia" w:ascii="Times New Roman" w:hAnsi="Times New Roman" w:eastAsia="仿宋_GB2312"/>
          <w:kern w:val="0"/>
          <w:sz w:val="24"/>
          <w:szCs w:val="24"/>
        </w:rPr>
        <w:t>本方案新增露天采场平台部分覆土绿化措施（本项目边坡</w:t>
      </w:r>
      <w:r>
        <w:rPr>
          <w:rFonts w:hint="eastAsia" w:ascii="Times New Roman" w:hAnsi="Times New Roman" w:eastAsia="仿宋_GB2312"/>
          <w:kern w:val="0"/>
          <w:sz w:val="24"/>
          <w:szCs w:val="24"/>
          <w:lang w:eastAsia="zh-CN"/>
        </w:rPr>
        <w:t>为</w:t>
      </w:r>
      <w:r>
        <w:rPr>
          <w:rFonts w:hint="eastAsia" w:ascii="Times New Roman" w:hAnsi="Times New Roman" w:eastAsia="仿宋_GB2312"/>
          <w:kern w:val="0"/>
          <w:sz w:val="24"/>
          <w:szCs w:val="24"/>
        </w:rPr>
        <w:t>陡坡，且都为岩石，水土流失不大，本方案不进行覆土），覆盖厚度为30cm表土，覆土来源为客土，汽车运输到矿山采场后，运用推土机进行土地平整作业，平整后保证有1-3°的反坡，坡脚种植爬山虎对边坡进行绿化。测算需覆土工程量为</w:t>
      </w:r>
      <w:r>
        <w:rPr>
          <w:rFonts w:hint="eastAsia" w:ascii="Times New Roman" w:hAnsi="Times New Roman" w:eastAsia="仿宋_GB2312"/>
          <w:kern w:val="0"/>
          <w:sz w:val="24"/>
          <w:szCs w:val="24"/>
          <w:lang w:val="en-US" w:eastAsia="zh-CN"/>
        </w:rPr>
        <w:t>0.46</w:t>
      </w:r>
      <w:r>
        <w:rPr>
          <w:rFonts w:hint="eastAsia" w:ascii="Times New Roman" w:hAnsi="Times New Roman" w:eastAsia="仿宋_GB2312"/>
          <w:kern w:val="0"/>
          <w:sz w:val="24"/>
          <w:szCs w:val="24"/>
        </w:rPr>
        <w:t>万m³。本方案不设取土场，覆土由企业出资购买。</w:t>
      </w:r>
    </w:p>
    <w:p>
      <w:pPr>
        <w:widowControl/>
        <w:spacing w:line="360" w:lineRule="auto"/>
        <w:ind w:firstLine="480" w:firstLineChars="200"/>
        <w:jc w:val="left"/>
        <w:rPr>
          <w:rFonts w:hint="eastAsia" w:ascii="Times New Roman" w:hAnsi="Times New Roman" w:eastAsia="仿宋_GB2312"/>
          <w:kern w:val="0"/>
          <w:sz w:val="24"/>
          <w:szCs w:val="24"/>
        </w:rPr>
      </w:pPr>
      <w:r>
        <w:rPr>
          <w:rFonts w:hint="eastAsia" w:ascii="Times New Roman" w:hAnsi="Times New Roman" w:eastAsia="仿宋_GB2312"/>
          <w:kern w:val="0"/>
          <w:sz w:val="24"/>
          <w:szCs w:val="24"/>
        </w:rPr>
        <w:t>（2）平台排水沟</w:t>
      </w:r>
    </w:p>
    <w:p>
      <w:pPr>
        <w:widowControl/>
        <w:spacing w:line="360" w:lineRule="auto"/>
        <w:ind w:firstLine="480" w:firstLineChars="200"/>
        <w:jc w:val="left"/>
        <w:rPr>
          <w:rFonts w:hint="eastAsia" w:ascii="Times New Roman" w:hAnsi="Times New Roman" w:eastAsia="仿宋_GB2312"/>
          <w:kern w:val="0"/>
          <w:sz w:val="24"/>
          <w:szCs w:val="24"/>
        </w:rPr>
      </w:pPr>
      <w:r>
        <w:rPr>
          <w:rFonts w:hint="eastAsia" w:ascii="Times New Roman" w:hAnsi="Times New Roman" w:eastAsia="仿宋_GB2312"/>
          <w:kern w:val="0"/>
          <w:sz w:val="24"/>
          <w:szCs w:val="24"/>
        </w:rPr>
        <w:t>采场闭矿后对采场平台内侧设置浆砌石（M7.5）排水沟，</w:t>
      </w:r>
      <w:r>
        <w:rPr>
          <w:rFonts w:hint="eastAsia" w:ascii="Times New Roman" w:hAnsi="Times New Roman" w:eastAsia="仿宋_GB2312"/>
          <w:kern w:val="0"/>
          <w:sz w:val="24"/>
          <w:szCs w:val="24"/>
          <w:lang w:eastAsia="zh-CN"/>
        </w:rPr>
        <w:t>排水沟依次与下截平台</w:t>
      </w:r>
      <w:r>
        <w:rPr>
          <w:rFonts w:hint="eastAsia" w:ascii="Times New Roman" w:hAnsi="Times New Roman" w:eastAsia="仿宋_GB2312"/>
          <w:kern w:val="0"/>
          <w:sz w:val="24"/>
          <w:szCs w:val="24"/>
        </w:rPr>
        <w:t>排</w:t>
      </w:r>
      <w:r>
        <w:rPr>
          <w:rFonts w:hint="eastAsia" w:ascii="Times New Roman" w:hAnsi="Times New Roman" w:eastAsia="仿宋_GB2312"/>
          <w:kern w:val="0"/>
          <w:sz w:val="24"/>
          <w:szCs w:val="24"/>
          <w:lang w:eastAsia="zh-CN"/>
        </w:rPr>
        <w:t>相连，</w:t>
      </w:r>
      <w:r>
        <w:rPr>
          <w:rFonts w:hint="eastAsia" w:ascii="Times New Roman" w:hAnsi="Times New Roman" w:eastAsia="仿宋_GB2312"/>
          <w:kern w:val="0"/>
          <w:sz w:val="24"/>
          <w:szCs w:val="24"/>
        </w:rPr>
        <w:t>水沟采用浆砌石矩形断面形式，底宽 0.4m，深 0.4m，壁厚 0.3m，共布设排水沟</w:t>
      </w:r>
      <w:r>
        <w:rPr>
          <w:rFonts w:hint="eastAsia" w:ascii="Times New Roman" w:hAnsi="Times New Roman" w:eastAsia="仿宋_GB2312"/>
          <w:kern w:val="0"/>
          <w:sz w:val="24"/>
          <w:szCs w:val="24"/>
          <w:lang w:val="en-US" w:eastAsia="zh-CN"/>
        </w:rPr>
        <w:t>2255</w:t>
      </w:r>
      <w:r>
        <w:rPr>
          <w:rFonts w:hint="eastAsia" w:ascii="Times New Roman" w:hAnsi="Times New Roman" w:eastAsia="仿宋_GB2312"/>
          <w:kern w:val="0"/>
          <w:sz w:val="24"/>
          <w:szCs w:val="24"/>
        </w:rPr>
        <w:t>m，土方开挖</w:t>
      </w:r>
      <w:r>
        <w:rPr>
          <w:rFonts w:hint="eastAsia" w:ascii="Times New Roman" w:hAnsi="Times New Roman" w:eastAsia="仿宋_GB2312"/>
          <w:kern w:val="0"/>
          <w:sz w:val="24"/>
          <w:szCs w:val="24"/>
          <w:lang w:val="en-US" w:eastAsia="zh-CN"/>
        </w:rPr>
        <w:t>2121.34</w:t>
      </w:r>
      <w:r>
        <w:rPr>
          <w:rFonts w:hint="eastAsia" w:ascii="Times New Roman" w:hAnsi="Times New Roman" w:eastAsia="仿宋_GB2312"/>
          <w:kern w:val="0"/>
          <w:sz w:val="24"/>
          <w:szCs w:val="24"/>
        </w:rPr>
        <w:t>m</w:t>
      </w:r>
      <w:r>
        <w:rPr>
          <w:rFonts w:hint="eastAsia" w:ascii="Times New Roman" w:hAnsi="Times New Roman" w:eastAsia="仿宋_GB2312"/>
          <w:kern w:val="0"/>
          <w:sz w:val="24"/>
          <w:szCs w:val="24"/>
          <w:vertAlign w:val="superscript"/>
        </w:rPr>
        <w:t>3</w:t>
      </w:r>
      <w:r>
        <w:rPr>
          <w:rFonts w:hint="eastAsia" w:ascii="Times New Roman" w:hAnsi="Times New Roman" w:eastAsia="仿宋_GB2312"/>
          <w:kern w:val="0"/>
          <w:sz w:val="24"/>
          <w:szCs w:val="24"/>
        </w:rPr>
        <w:t>，土方回填</w:t>
      </w:r>
      <w:r>
        <w:rPr>
          <w:rFonts w:hint="eastAsia" w:ascii="Times New Roman" w:hAnsi="Times New Roman" w:eastAsia="仿宋_GB2312"/>
          <w:kern w:val="0"/>
          <w:sz w:val="24"/>
          <w:szCs w:val="24"/>
          <w:lang w:val="en-US" w:eastAsia="zh-CN"/>
        </w:rPr>
        <w:t>552.29</w:t>
      </w:r>
      <w:r>
        <w:rPr>
          <w:rFonts w:hint="eastAsia" w:ascii="Times New Roman" w:hAnsi="Times New Roman" w:eastAsia="仿宋_GB2312"/>
          <w:kern w:val="0"/>
          <w:sz w:val="24"/>
          <w:szCs w:val="24"/>
        </w:rPr>
        <w:t>m</w:t>
      </w:r>
      <w:r>
        <w:rPr>
          <w:rFonts w:hint="eastAsia" w:ascii="Times New Roman" w:hAnsi="Times New Roman" w:eastAsia="仿宋_GB2312"/>
          <w:kern w:val="0"/>
          <w:sz w:val="24"/>
          <w:szCs w:val="24"/>
          <w:vertAlign w:val="superscript"/>
        </w:rPr>
        <w:t>3</w:t>
      </w:r>
      <w:r>
        <w:rPr>
          <w:rFonts w:hint="eastAsia" w:ascii="Times New Roman" w:hAnsi="Times New Roman" w:eastAsia="仿宋_GB2312"/>
          <w:kern w:val="0"/>
          <w:sz w:val="24"/>
          <w:szCs w:val="24"/>
        </w:rPr>
        <w:t>，浆砌石</w:t>
      </w:r>
      <w:r>
        <w:rPr>
          <w:rFonts w:hint="eastAsia" w:ascii="Times New Roman" w:hAnsi="Times New Roman" w:eastAsia="仿宋_GB2312"/>
          <w:kern w:val="0"/>
          <w:sz w:val="24"/>
          <w:szCs w:val="24"/>
          <w:lang w:val="en-US" w:eastAsia="zh-CN"/>
        </w:rPr>
        <w:t>1373.02</w:t>
      </w:r>
      <w:r>
        <w:rPr>
          <w:rFonts w:hint="eastAsia" w:ascii="Times New Roman" w:hAnsi="Times New Roman" w:eastAsia="仿宋_GB2312"/>
          <w:kern w:val="0"/>
          <w:sz w:val="24"/>
          <w:szCs w:val="24"/>
        </w:rPr>
        <w:t>m</w:t>
      </w:r>
      <w:r>
        <w:rPr>
          <w:rFonts w:hint="eastAsia" w:ascii="Times New Roman" w:hAnsi="Times New Roman" w:eastAsia="仿宋_GB2312"/>
          <w:kern w:val="0"/>
          <w:sz w:val="24"/>
          <w:szCs w:val="24"/>
          <w:vertAlign w:val="superscript"/>
        </w:rPr>
        <w:t>3</w:t>
      </w:r>
      <w:r>
        <w:rPr>
          <w:rFonts w:hint="eastAsia" w:ascii="Times New Roman" w:hAnsi="Times New Roman" w:eastAsia="仿宋_GB2312"/>
          <w:kern w:val="0"/>
          <w:sz w:val="24"/>
          <w:szCs w:val="24"/>
        </w:rPr>
        <w:t>。</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w:t>
      </w:r>
      <w:r>
        <w:rPr>
          <w:rFonts w:hint="eastAsia" w:ascii="Times New Roman" w:hAnsi="Times New Roman" w:eastAsia="仿宋_GB2312"/>
          <w:kern w:val="0"/>
          <w:sz w:val="24"/>
          <w:szCs w:val="24"/>
          <w:lang w:val="en-US" w:eastAsia="zh-CN"/>
        </w:rPr>
        <w:t>3</w:t>
      </w:r>
      <w:r>
        <w:rPr>
          <w:rFonts w:hint="eastAsia" w:ascii="Times New Roman" w:hAnsi="Times New Roman" w:eastAsia="仿宋_GB2312"/>
          <w:kern w:val="0"/>
          <w:sz w:val="24"/>
          <w:szCs w:val="24"/>
          <w:lang w:eastAsia="zh-CN"/>
        </w:rPr>
        <w:t>）周边截水沟</w:t>
      </w:r>
    </w:p>
    <w:p>
      <w:pPr>
        <w:widowControl/>
        <w:spacing w:line="360" w:lineRule="auto"/>
        <w:ind w:firstLine="480" w:firstLineChars="200"/>
        <w:jc w:val="left"/>
        <w:rPr>
          <w:rFonts w:hint="eastAsia" w:ascii="Times New Roman" w:hAnsi="Times New Roman" w:eastAsia="仿宋_GB2312"/>
          <w:kern w:val="0"/>
          <w:sz w:val="24"/>
          <w:szCs w:val="24"/>
        </w:rPr>
      </w:pPr>
      <w:r>
        <w:rPr>
          <w:rFonts w:hint="eastAsia" w:ascii="Times New Roman" w:hAnsi="Times New Roman" w:eastAsia="仿宋_GB2312"/>
          <w:kern w:val="0"/>
          <w:sz w:val="24"/>
          <w:szCs w:val="24"/>
          <w:lang w:eastAsia="zh-CN"/>
        </w:rPr>
        <w:t>在采场周边布设截水沟防止雨水进入采场内，截水沟末端与马道排水沟相连，截水</w:t>
      </w:r>
      <w:r>
        <w:rPr>
          <w:rFonts w:hint="eastAsia" w:ascii="Times New Roman" w:hAnsi="Times New Roman" w:eastAsia="仿宋_GB2312"/>
          <w:kern w:val="0"/>
          <w:sz w:val="24"/>
          <w:szCs w:val="24"/>
        </w:rPr>
        <w:t>沟采用浆砌石（M7.5）矩形断面形式，底宽 0.4m，深 0.4m，壁厚 0.3m，共布设排水沟</w:t>
      </w:r>
      <w:r>
        <w:rPr>
          <w:rFonts w:hint="eastAsia" w:ascii="Times New Roman" w:hAnsi="Times New Roman" w:eastAsia="仿宋_GB2312"/>
          <w:kern w:val="0"/>
          <w:sz w:val="24"/>
          <w:szCs w:val="24"/>
          <w:lang w:val="en-US" w:eastAsia="zh-CN"/>
        </w:rPr>
        <w:t>800</w:t>
      </w:r>
      <w:r>
        <w:rPr>
          <w:rFonts w:hint="eastAsia" w:ascii="Times New Roman" w:hAnsi="Times New Roman" w:eastAsia="仿宋_GB2312"/>
          <w:kern w:val="0"/>
          <w:sz w:val="24"/>
          <w:szCs w:val="24"/>
        </w:rPr>
        <w:t>m，土方开挖</w:t>
      </w:r>
      <w:r>
        <w:rPr>
          <w:rFonts w:hint="eastAsia" w:ascii="Times New Roman" w:hAnsi="Times New Roman" w:eastAsia="仿宋_GB2312"/>
          <w:kern w:val="0"/>
          <w:sz w:val="24"/>
          <w:szCs w:val="24"/>
          <w:lang w:val="en-US" w:eastAsia="zh-CN"/>
        </w:rPr>
        <w:t>752.58</w:t>
      </w:r>
      <w:r>
        <w:rPr>
          <w:rFonts w:hint="eastAsia" w:ascii="Times New Roman" w:hAnsi="Times New Roman" w:eastAsia="仿宋_GB2312"/>
          <w:kern w:val="0"/>
          <w:sz w:val="24"/>
          <w:szCs w:val="24"/>
        </w:rPr>
        <w:t>m</w:t>
      </w:r>
      <w:r>
        <w:rPr>
          <w:rFonts w:hint="eastAsia" w:ascii="Times New Roman" w:hAnsi="Times New Roman" w:eastAsia="仿宋_GB2312"/>
          <w:kern w:val="0"/>
          <w:sz w:val="24"/>
          <w:szCs w:val="24"/>
          <w:vertAlign w:val="superscript"/>
        </w:rPr>
        <w:t>3</w:t>
      </w:r>
      <w:r>
        <w:rPr>
          <w:rFonts w:hint="eastAsia" w:ascii="Times New Roman" w:hAnsi="Times New Roman" w:eastAsia="仿宋_GB2312"/>
          <w:kern w:val="0"/>
          <w:sz w:val="24"/>
          <w:szCs w:val="24"/>
        </w:rPr>
        <w:t>，土方回填</w:t>
      </w:r>
      <w:r>
        <w:rPr>
          <w:rFonts w:hint="eastAsia" w:ascii="Times New Roman" w:hAnsi="Times New Roman" w:eastAsia="仿宋_GB2312"/>
          <w:kern w:val="0"/>
          <w:sz w:val="24"/>
          <w:szCs w:val="24"/>
          <w:lang w:val="en-US" w:eastAsia="zh-CN"/>
        </w:rPr>
        <w:t>195.49</w:t>
      </w:r>
      <w:r>
        <w:rPr>
          <w:rFonts w:hint="eastAsia" w:ascii="Times New Roman" w:hAnsi="Times New Roman" w:eastAsia="仿宋_GB2312"/>
          <w:kern w:val="0"/>
          <w:sz w:val="24"/>
          <w:szCs w:val="24"/>
        </w:rPr>
        <w:t>m</w:t>
      </w:r>
      <w:r>
        <w:rPr>
          <w:rFonts w:hint="eastAsia" w:ascii="Times New Roman" w:hAnsi="Times New Roman" w:eastAsia="仿宋_GB2312"/>
          <w:kern w:val="0"/>
          <w:sz w:val="24"/>
          <w:szCs w:val="24"/>
          <w:vertAlign w:val="superscript"/>
        </w:rPr>
        <w:t>3</w:t>
      </w:r>
      <w:r>
        <w:rPr>
          <w:rFonts w:hint="eastAsia" w:ascii="Times New Roman" w:hAnsi="Times New Roman" w:eastAsia="仿宋_GB2312"/>
          <w:kern w:val="0"/>
          <w:sz w:val="24"/>
          <w:szCs w:val="24"/>
        </w:rPr>
        <w:t>，浆砌石</w:t>
      </w:r>
      <w:r>
        <w:rPr>
          <w:rFonts w:hint="eastAsia" w:ascii="Times New Roman" w:hAnsi="Times New Roman" w:eastAsia="仿宋_GB2312"/>
          <w:kern w:val="0"/>
          <w:sz w:val="24"/>
          <w:szCs w:val="24"/>
          <w:lang w:val="en-US" w:eastAsia="zh-CN"/>
        </w:rPr>
        <w:t>487.10</w:t>
      </w:r>
      <w:r>
        <w:rPr>
          <w:rFonts w:hint="eastAsia" w:ascii="Times New Roman" w:hAnsi="Times New Roman" w:eastAsia="仿宋_GB2312"/>
          <w:kern w:val="0"/>
          <w:sz w:val="24"/>
          <w:szCs w:val="24"/>
        </w:rPr>
        <w:t>m</w:t>
      </w:r>
      <w:r>
        <w:rPr>
          <w:rFonts w:hint="eastAsia" w:ascii="Times New Roman" w:hAnsi="Times New Roman" w:eastAsia="仿宋_GB2312"/>
          <w:kern w:val="0"/>
          <w:sz w:val="24"/>
          <w:szCs w:val="24"/>
          <w:vertAlign w:val="superscript"/>
        </w:rPr>
        <w:t>3</w:t>
      </w:r>
      <w:r>
        <w:rPr>
          <w:rFonts w:hint="eastAsia" w:ascii="Times New Roman" w:hAnsi="Times New Roman" w:eastAsia="仿宋_GB2312"/>
          <w:kern w:val="0"/>
          <w:sz w:val="24"/>
          <w:szCs w:val="24"/>
        </w:rPr>
        <w:t>。</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项目区位于省级水土流失重点预防保护区，截排水工程提高一级，依据《水土保持工程设计规范》（GB51018-2014）5.6.1和《生产建设项目水土流失防治标准》（GB/T 50434-2018）确定为2级，排水标准确定为5年一遇短历时暴雨。</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①截、排水沟设计排水流量计算</w:t>
      </w:r>
    </w:p>
    <w:p>
      <w:pPr>
        <w:widowControl/>
        <w:spacing w:line="360" w:lineRule="auto"/>
        <w:ind w:firstLine="480" w:firstLineChars="200"/>
        <w:jc w:val="left"/>
        <w:rPr>
          <w:rFonts w:hint="eastAsia" w:ascii="Times New Roman" w:hAnsi="Times New Roman" w:eastAsia="仿宋_GB2312"/>
          <w:kern w:val="0"/>
          <w:sz w:val="24"/>
          <w:szCs w:val="24"/>
        </w:rPr>
      </w:pPr>
      <w:r>
        <w:rPr>
          <w:rFonts w:hint="eastAsia" w:ascii="Times New Roman" w:hAnsi="Times New Roman" w:eastAsia="仿宋_GB2312"/>
          <w:kern w:val="0"/>
          <w:sz w:val="24"/>
          <w:szCs w:val="24"/>
        </w:rPr>
        <w:t>Qm=16.67φqF</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q=CpCtq5,10</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式中：</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φ——径流系数，取0.6；</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F——汇水面积，取0.02km</w:t>
      </w:r>
      <w:r>
        <w:rPr>
          <w:rFonts w:hint="eastAsia" w:ascii="Times New Roman" w:hAnsi="Times New Roman" w:eastAsia="仿宋_GB2312"/>
          <w:kern w:val="0"/>
          <w:sz w:val="24"/>
          <w:szCs w:val="24"/>
          <w:vertAlign w:val="superscript"/>
          <w:lang w:eastAsia="zh-CN"/>
        </w:rPr>
        <w:t>2</w:t>
      </w:r>
      <w:r>
        <w:rPr>
          <w:rFonts w:hint="eastAsia" w:ascii="Times New Roman" w:hAnsi="Times New Roman" w:eastAsia="仿宋_GB2312"/>
          <w:kern w:val="0"/>
          <w:sz w:val="24"/>
          <w:szCs w:val="24"/>
          <w:lang w:eastAsia="zh-CN"/>
        </w:rPr>
        <w:t>；</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q5,10——5年重现期和10min降雨历时的标准降雨强度(mm/min)；可按工程所在地区，查中国5年一遇10min降雨强度q5,10等值线图确定，取1.75；</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Cp——重现期转换系数，为设计重现期降雨强度qp同标准重现期降雨强度q5的比值（qp/q5），按工程所在地区，取1.0；</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Ct——降雨历时转换系数，为降雨历时t的降雨强度qt同10min降雨历时的降雨强度q10的比值（qt/q10），按工程所在地区的60min转换系数（C60），取0.35；</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按照经验公式Qm=16.67φqF，经计算得Qm=0.12m3/s</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②排水沟断面设计</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采用明渠均匀流公式计算：</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Q设=AC（Ri）½</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其中：Q设—设计流量(m</w:t>
      </w:r>
      <w:r>
        <w:rPr>
          <w:rFonts w:hint="eastAsia" w:ascii="Times New Roman" w:hAnsi="Times New Roman" w:eastAsia="仿宋_GB2312"/>
          <w:kern w:val="0"/>
          <w:sz w:val="24"/>
          <w:szCs w:val="24"/>
          <w:vertAlign w:val="superscript"/>
          <w:lang w:eastAsia="zh-CN"/>
        </w:rPr>
        <w:t>3</w:t>
      </w:r>
      <w:r>
        <w:rPr>
          <w:rFonts w:hint="eastAsia" w:ascii="Times New Roman" w:hAnsi="Times New Roman" w:eastAsia="仿宋_GB2312"/>
          <w:kern w:val="0"/>
          <w:sz w:val="24"/>
          <w:szCs w:val="24"/>
          <w:lang w:eastAsia="zh-CN"/>
        </w:rPr>
        <w:t>/s)；</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A—过水断面面积(m</w:t>
      </w:r>
      <w:r>
        <w:rPr>
          <w:rFonts w:hint="eastAsia" w:ascii="Times New Roman" w:hAnsi="Times New Roman" w:eastAsia="仿宋_GB2312"/>
          <w:kern w:val="0"/>
          <w:sz w:val="24"/>
          <w:szCs w:val="24"/>
          <w:vertAlign w:val="superscript"/>
          <w:lang w:eastAsia="zh-CN"/>
        </w:rPr>
        <w:t>2)</w:t>
      </w:r>
      <w:r>
        <w:rPr>
          <w:rFonts w:hint="eastAsia" w:ascii="Times New Roman" w:hAnsi="Times New Roman" w:eastAsia="仿宋_GB2312"/>
          <w:kern w:val="0"/>
          <w:sz w:val="24"/>
          <w:szCs w:val="24"/>
          <w:lang w:eastAsia="zh-CN"/>
        </w:rPr>
        <w:t>，A=bh+mh</w:t>
      </w:r>
      <w:r>
        <w:rPr>
          <w:rFonts w:hint="eastAsia" w:ascii="Times New Roman" w:hAnsi="Times New Roman" w:eastAsia="仿宋_GB2312"/>
          <w:kern w:val="0"/>
          <w:sz w:val="24"/>
          <w:szCs w:val="24"/>
          <w:vertAlign w:val="superscript"/>
          <w:lang w:eastAsia="zh-CN"/>
        </w:rPr>
        <w:t>2</w:t>
      </w:r>
      <w:r>
        <w:rPr>
          <w:rFonts w:hint="eastAsia" w:ascii="Times New Roman" w:hAnsi="Times New Roman" w:eastAsia="仿宋_GB2312"/>
          <w:kern w:val="0"/>
          <w:sz w:val="24"/>
          <w:szCs w:val="24"/>
          <w:lang w:eastAsia="zh-CN"/>
        </w:rPr>
        <w:t>，</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C—谢才系数，C=（1/n）R1/6；</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n－糙率系数，n＝0.025；</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R—水力半径（m），R=A/S，S=b+2h(1+m</w:t>
      </w:r>
      <w:r>
        <w:rPr>
          <w:rFonts w:hint="eastAsia" w:ascii="Times New Roman" w:hAnsi="Times New Roman" w:eastAsia="仿宋_GB2312"/>
          <w:kern w:val="0"/>
          <w:sz w:val="24"/>
          <w:szCs w:val="24"/>
          <w:vertAlign w:val="superscript"/>
          <w:lang w:eastAsia="zh-CN"/>
        </w:rPr>
        <w:t>2</w:t>
      </w:r>
      <w:r>
        <w:rPr>
          <w:rFonts w:hint="eastAsia" w:ascii="Times New Roman" w:hAnsi="Times New Roman" w:eastAsia="仿宋_GB2312"/>
          <w:kern w:val="0"/>
          <w:sz w:val="24"/>
          <w:szCs w:val="24"/>
          <w:lang w:eastAsia="zh-CN"/>
        </w:rPr>
        <w:t>)1/2，b-底宽，m；m-边坡系数；h-水深；i—纵坡坡降，5%。</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Q设=0.18m</w:t>
      </w:r>
      <w:r>
        <w:rPr>
          <w:rFonts w:hint="eastAsia" w:ascii="Times New Roman" w:hAnsi="Times New Roman" w:eastAsia="仿宋_GB2312"/>
          <w:kern w:val="0"/>
          <w:sz w:val="24"/>
          <w:szCs w:val="24"/>
          <w:vertAlign w:val="superscript"/>
          <w:lang w:eastAsia="zh-CN"/>
        </w:rPr>
        <w:t>3</w:t>
      </w:r>
      <w:r>
        <w:rPr>
          <w:rFonts w:hint="eastAsia" w:ascii="Times New Roman" w:hAnsi="Times New Roman" w:eastAsia="仿宋_GB2312"/>
          <w:kern w:val="0"/>
          <w:sz w:val="24"/>
          <w:szCs w:val="24"/>
          <w:lang w:eastAsia="zh-CN"/>
        </w:rPr>
        <w:t>/s</w:t>
      </w:r>
    </w:p>
    <w:p>
      <w:pPr>
        <w:adjustRightInd w:val="0"/>
        <w:jc w:val="center"/>
        <w:textAlignment w:val="baseline"/>
        <w:rPr>
          <w:rFonts w:hint="eastAsia" w:ascii="宋体" w:hAnsi="宋体" w:eastAsia="宋体" w:cs="宋体"/>
          <w:b/>
          <w:szCs w:val="21"/>
        </w:rPr>
      </w:pPr>
      <w:r>
        <w:rPr>
          <w:rFonts w:hint="eastAsia" w:ascii="宋体" w:hAnsi="宋体" w:eastAsia="宋体" w:cs="宋体"/>
          <w:b/>
          <w:szCs w:val="21"/>
        </w:rPr>
        <w:t>表5-10   临时排水沟过流断面计算结果表</w:t>
      </w:r>
    </w:p>
    <w:tbl>
      <w:tblPr>
        <w:tblStyle w:val="2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82"/>
        <w:gridCol w:w="1222"/>
        <w:gridCol w:w="1081"/>
        <w:gridCol w:w="851"/>
        <w:gridCol w:w="851"/>
        <w:gridCol w:w="915"/>
        <w:gridCol w:w="915"/>
        <w:gridCol w:w="129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87" w:type="pct"/>
            <w:shd w:val="clear" w:color="auto" w:fill="auto"/>
            <w:noWrap w:val="0"/>
            <w:vAlign w:val="center"/>
          </w:tcPr>
          <w:p>
            <w:pPr>
              <w:widowControl/>
              <w:jc w:val="center"/>
              <w:rPr>
                <w:rFonts w:hint="eastAsia" w:ascii="宋体" w:hAnsi="宋体" w:eastAsia="宋体" w:cs="宋体"/>
                <w:b/>
                <w:szCs w:val="21"/>
              </w:rPr>
            </w:pPr>
            <w:r>
              <w:rPr>
                <w:rFonts w:hint="eastAsia" w:ascii="宋体" w:hAnsi="宋体" w:eastAsia="宋体" w:cs="宋体"/>
                <w:b/>
                <w:szCs w:val="21"/>
              </w:rPr>
              <w:t>名称</w:t>
            </w:r>
          </w:p>
        </w:tc>
        <w:tc>
          <w:tcPr>
            <w:tcW w:w="670" w:type="pct"/>
            <w:shd w:val="clear" w:color="auto" w:fill="auto"/>
            <w:noWrap w:val="0"/>
            <w:vAlign w:val="center"/>
          </w:tcPr>
          <w:p>
            <w:pPr>
              <w:widowControl/>
              <w:jc w:val="center"/>
              <w:rPr>
                <w:rFonts w:hint="eastAsia" w:ascii="宋体" w:hAnsi="宋体" w:eastAsia="宋体" w:cs="宋体"/>
                <w:b/>
                <w:szCs w:val="21"/>
              </w:rPr>
            </w:pPr>
            <w:r>
              <w:rPr>
                <w:rFonts w:hint="eastAsia" w:ascii="宋体" w:hAnsi="宋体" w:eastAsia="宋体" w:cs="宋体"/>
                <w:b/>
                <w:szCs w:val="21"/>
              </w:rPr>
              <w:t>Q</w:t>
            </w:r>
            <w:r>
              <w:rPr>
                <w:rFonts w:hint="eastAsia" w:ascii="宋体" w:hAnsi="宋体" w:eastAsia="宋体" w:cs="宋体"/>
                <w:b/>
                <w:szCs w:val="21"/>
                <w:vertAlign w:val="subscript"/>
              </w:rPr>
              <w:t>m</w:t>
            </w:r>
          </w:p>
        </w:tc>
        <w:tc>
          <w:tcPr>
            <w:tcW w:w="593" w:type="pct"/>
            <w:shd w:val="clear" w:color="auto" w:fill="auto"/>
            <w:noWrap w:val="0"/>
            <w:vAlign w:val="center"/>
          </w:tcPr>
          <w:p>
            <w:pPr>
              <w:widowControl/>
              <w:jc w:val="center"/>
              <w:rPr>
                <w:rFonts w:hint="eastAsia" w:ascii="宋体" w:hAnsi="宋体" w:eastAsia="宋体" w:cs="宋体"/>
                <w:b/>
                <w:szCs w:val="21"/>
              </w:rPr>
            </w:pPr>
            <w:r>
              <w:rPr>
                <w:rFonts w:hint="eastAsia" w:ascii="宋体" w:hAnsi="宋体" w:eastAsia="宋体" w:cs="宋体"/>
                <w:b/>
                <w:szCs w:val="21"/>
              </w:rPr>
              <w:t>Q设</w:t>
            </w:r>
          </w:p>
        </w:tc>
        <w:tc>
          <w:tcPr>
            <w:tcW w:w="467" w:type="pct"/>
            <w:shd w:val="clear" w:color="auto" w:fill="auto"/>
            <w:noWrap w:val="0"/>
            <w:vAlign w:val="center"/>
          </w:tcPr>
          <w:p>
            <w:pPr>
              <w:widowControl/>
              <w:jc w:val="center"/>
              <w:rPr>
                <w:rFonts w:hint="eastAsia" w:ascii="宋体" w:hAnsi="宋体" w:eastAsia="宋体" w:cs="宋体"/>
                <w:b/>
                <w:szCs w:val="21"/>
              </w:rPr>
            </w:pPr>
            <w:r>
              <w:rPr>
                <w:rFonts w:hint="eastAsia" w:ascii="宋体" w:hAnsi="宋体" w:eastAsia="宋体" w:cs="宋体"/>
                <w:b/>
                <w:szCs w:val="21"/>
              </w:rPr>
              <w:t>h</w:t>
            </w:r>
          </w:p>
        </w:tc>
        <w:tc>
          <w:tcPr>
            <w:tcW w:w="467" w:type="pct"/>
            <w:shd w:val="clear" w:color="auto" w:fill="auto"/>
            <w:noWrap w:val="0"/>
            <w:vAlign w:val="center"/>
          </w:tcPr>
          <w:p>
            <w:pPr>
              <w:widowControl/>
              <w:jc w:val="center"/>
              <w:rPr>
                <w:rFonts w:hint="eastAsia" w:ascii="宋体" w:hAnsi="宋体" w:eastAsia="宋体" w:cs="宋体"/>
                <w:b/>
                <w:szCs w:val="21"/>
              </w:rPr>
            </w:pPr>
            <w:r>
              <w:rPr>
                <w:rFonts w:hint="eastAsia" w:ascii="宋体" w:hAnsi="宋体" w:eastAsia="宋体" w:cs="宋体"/>
                <w:b/>
                <w:szCs w:val="21"/>
              </w:rPr>
              <w:t>b</w:t>
            </w:r>
          </w:p>
        </w:tc>
        <w:tc>
          <w:tcPr>
            <w:tcW w:w="502" w:type="pct"/>
            <w:shd w:val="clear" w:color="auto" w:fill="auto"/>
            <w:noWrap w:val="0"/>
            <w:vAlign w:val="center"/>
          </w:tcPr>
          <w:p>
            <w:pPr>
              <w:widowControl/>
              <w:jc w:val="center"/>
              <w:rPr>
                <w:rFonts w:hint="eastAsia" w:ascii="宋体" w:hAnsi="宋体" w:eastAsia="宋体" w:cs="宋体"/>
                <w:b/>
                <w:szCs w:val="21"/>
              </w:rPr>
            </w:pPr>
            <w:r>
              <w:rPr>
                <w:rFonts w:hint="eastAsia" w:ascii="宋体" w:hAnsi="宋体" w:eastAsia="宋体" w:cs="宋体"/>
                <w:b/>
                <w:szCs w:val="21"/>
              </w:rPr>
              <w:t>i</w:t>
            </w:r>
          </w:p>
        </w:tc>
        <w:tc>
          <w:tcPr>
            <w:tcW w:w="502" w:type="pct"/>
            <w:shd w:val="clear" w:color="auto" w:fill="auto"/>
            <w:noWrap w:val="0"/>
            <w:vAlign w:val="center"/>
          </w:tcPr>
          <w:p>
            <w:pPr>
              <w:widowControl/>
              <w:jc w:val="center"/>
              <w:rPr>
                <w:rFonts w:hint="eastAsia" w:ascii="宋体" w:hAnsi="宋体" w:eastAsia="宋体" w:cs="宋体"/>
                <w:b/>
                <w:szCs w:val="21"/>
              </w:rPr>
            </w:pPr>
            <w:r>
              <w:rPr>
                <w:rFonts w:hint="eastAsia" w:ascii="宋体" w:hAnsi="宋体" w:eastAsia="宋体" w:cs="宋体"/>
                <w:b/>
                <w:szCs w:val="21"/>
              </w:rPr>
              <w:t>n</w:t>
            </w:r>
          </w:p>
        </w:tc>
        <w:tc>
          <w:tcPr>
            <w:tcW w:w="712" w:type="pct"/>
            <w:noWrap w:val="0"/>
            <w:vAlign w:val="center"/>
          </w:tcPr>
          <w:p>
            <w:pPr>
              <w:widowControl/>
              <w:jc w:val="center"/>
              <w:rPr>
                <w:rFonts w:hint="eastAsia" w:ascii="宋体" w:hAnsi="宋体" w:eastAsia="宋体" w:cs="宋体"/>
                <w:b/>
                <w:szCs w:val="21"/>
              </w:rPr>
            </w:pPr>
            <w:r>
              <w:rPr>
                <w:rFonts w:hint="eastAsia" w:ascii="宋体" w:hAnsi="宋体" w:eastAsia="宋体" w:cs="宋体"/>
                <w:b/>
                <w:szCs w:val="21"/>
              </w:rPr>
              <w:t>断面形式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87" w:type="pct"/>
            <w:shd w:val="clear" w:color="auto" w:fill="auto"/>
            <w:noWrap w:val="0"/>
            <w:vAlign w:val="center"/>
          </w:tcPr>
          <w:p>
            <w:pPr>
              <w:widowControl/>
              <w:jc w:val="center"/>
              <w:rPr>
                <w:rFonts w:hint="eastAsia" w:ascii="宋体" w:hAnsi="宋体" w:eastAsia="宋体" w:cs="宋体"/>
                <w:szCs w:val="21"/>
              </w:rPr>
            </w:pPr>
            <w:r>
              <w:rPr>
                <w:rFonts w:hint="eastAsia" w:ascii="宋体" w:hAnsi="宋体" w:eastAsia="宋体" w:cs="宋体"/>
                <w:szCs w:val="21"/>
              </w:rPr>
              <w:t>排水沟</w:t>
            </w:r>
          </w:p>
        </w:tc>
        <w:tc>
          <w:tcPr>
            <w:tcW w:w="670" w:type="pct"/>
            <w:shd w:val="clear" w:color="auto" w:fill="auto"/>
            <w:noWrap w:val="0"/>
            <w:vAlign w:val="center"/>
          </w:tcPr>
          <w:p>
            <w:pPr>
              <w:widowControl/>
              <w:jc w:val="center"/>
              <w:rPr>
                <w:rFonts w:hint="eastAsia" w:ascii="宋体" w:hAnsi="宋体" w:eastAsia="宋体" w:cs="宋体"/>
                <w:szCs w:val="21"/>
              </w:rPr>
            </w:pPr>
            <w:r>
              <w:rPr>
                <w:rFonts w:hint="eastAsia" w:ascii="宋体" w:hAnsi="宋体" w:eastAsia="宋体" w:cs="宋体"/>
                <w:szCs w:val="21"/>
              </w:rPr>
              <w:t>0.12</w:t>
            </w:r>
          </w:p>
        </w:tc>
        <w:tc>
          <w:tcPr>
            <w:tcW w:w="593" w:type="pct"/>
            <w:shd w:val="clear" w:color="auto" w:fill="auto"/>
            <w:noWrap w:val="0"/>
            <w:vAlign w:val="center"/>
          </w:tcPr>
          <w:p>
            <w:pPr>
              <w:widowControl/>
              <w:jc w:val="center"/>
              <w:rPr>
                <w:rFonts w:hint="eastAsia" w:ascii="宋体" w:hAnsi="宋体" w:eastAsia="宋体" w:cs="宋体"/>
                <w:szCs w:val="21"/>
              </w:rPr>
            </w:pPr>
            <w:r>
              <w:rPr>
                <w:rFonts w:hint="eastAsia" w:ascii="宋体" w:hAnsi="宋体" w:eastAsia="宋体" w:cs="宋体"/>
                <w:szCs w:val="21"/>
              </w:rPr>
              <w:t>0.18</w:t>
            </w:r>
          </w:p>
        </w:tc>
        <w:tc>
          <w:tcPr>
            <w:tcW w:w="467" w:type="pct"/>
            <w:shd w:val="clear" w:color="auto" w:fill="auto"/>
            <w:noWrap w:val="0"/>
            <w:vAlign w:val="center"/>
          </w:tcPr>
          <w:p>
            <w:pPr>
              <w:widowControl/>
              <w:jc w:val="center"/>
              <w:rPr>
                <w:rFonts w:hint="eastAsia" w:ascii="宋体" w:hAnsi="宋体" w:eastAsia="宋体" w:cs="宋体"/>
                <w:szCs w:val="21"/>
              </w:rPr>
            </w:pPr>
            <w:r>
              <w:rPr>
                <w:rFonts w:hint="eastAsia" w:ascii="宋体" w:hAnsi="宋体" w:eastAsia="宋体" w:cs="宋体"/>
                <w:szCs w:val="21"/>
              </w:rPr>
              <w:t>0.4</w:t>
            </w:r>
          </w:p>
        </w:tc>
        <w:tc>
          <w:tcPr>
            <w:tcW w:w="467" w:type="pct"/>
            <w:shd w:val="clear" w:color="auto" w:fill="auto"/>
            <w:noWrap w:val="0"/>
            <w:vAlign w:val="center"/>
          </w:tcPr>
          <w:p>
            <w:pPr>
              <w:widowControl/>
              <w:jc w:val="center"/>
              <w:rPr>
                <w:rFonts w:hint="eastAsia" w:ascii="宋体" w:hAnsi="宋体" w:eastAsia="宋体" w:cs="宋体"/>
                <w:szCs w:val="21"/>
              </w:rPr>
            </w:pPr>
            <w:r>
              <w:rPr>
                <w:rFonts w:hint="eastAsia" w:ascii="宋体" w:hAnsi="宋体" w:eastAsia="宋体" w:cs="宋体"/>
                <w:szCs w:val="21"/>
              </w:rPr>
              <w:t>0.4</w:t>
            </w:r>
          </w:p>
        </w:tc>
        <w:tc>
          <w:tcPr>
            <w:tcW w:w="502" w:type="pct"/>
            <w:shd w:val="clear" w:color="auto" w:fill="auto"/>
            <w:noWrap w:val="0"/>
            <w:vAlign w:val="center"/>
          </w:tcPr>
          <w:p>
            <w:pPr>
              <w:widowControl/>
              <w:jc w:val="center"/>
              <w:rPr>
                <w:rFonts w:hint="eastAsia" w:ascii="宋体" w:hAnsi="宋体" w:eastAsia="宋体" w:cs="宋体"/>
                <w:szCs w:val="21"/>
              </w:rPr>
            </w:pPr>
            <w:r>
              <w:rPr>
                <w:rFonts w:hint="eastAsia" w:ascii="宋体" w:hAnsi="宋体" w:eastAsia="宋体" w:cs="宋体"/>
                <w:szCs w:val="21"/>
              </w:rPr>
              <w:t>0.05</w:t>
            </w:r>
          </w:p>
        </w:tc>
        <w:tc>
          <w:tcPr>
            <w:tcW w:w="502" w:type="pct"/>
            <w:shd w:val="clear" w:color="auto" w:fill="auto"/>
            <w:noWrap w:val="0"/>
            <w:vAlign w:val="center"/>
          </w:tcPr>
          <w:p>
            <w:pPr>
              <w:widowControl/>
              <w:jc w:val="center"/>
              <w:rPr>
                <w:rFonts w:hint="eastAsia" w:ascii="宋体" w:hAnsi="宋体" w:eastAsia="宋体" w:cs="宋体"/>
                <w:szCs w:val="21"/>
              </w:rPr>
            </w:pPr>
            <w:r>
              <w:rPr>
                <w:rFonts w:hint="eastAsia" w:ascii="宋体" w:hAnsi="宋体" w:eastAsia="宋体" w:cs="宋体"/>
                <w:szCs w:val="21"/>
              </w:rPr>
              <w:t>0.025</w:t>
            </w:r>
          </w:p>
        </w:tc>
        <w:tc>
          <w:tcPr>
            <w:tcW w:w="712" w:type="pct"/>
            <w:noWrap w:val="0"/>
            <w:vAlign w:val="center"/>
          </w:tcPr>
          <w:p>
            <w:pPr>
              <w:widowControl/>
              <w:jc w:val="center"/>
              <w:rPr>
                <w:rFonts w:hint="eastAsia" w:ascii="宋体" w:hAnsi="宋体" w:eastAsia="宋体" w:cs="宋体"/>
                <w:szCs w:val="21"/>
              </w:rPr>
            </w:pPr>
            <w:r>
              <w:rPr>
                <w:rFonts w:hint="eastAsia" w:ascii="宋体" w:hAnsi="宋体" w:eastAsia="宋体" w:cs="宋体"/>
                <w:szCs w:val="21"/>
              </w:rPr>
              <w:t>矩形</w:t>
            </w:r>
          </w:p>
        </w:tc>
      </w:tr>
    </w:tbl>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拟定排水沟为矩形断面，排水沟底宽0.4m，深0.4m，经计算，设计过水能力为0.18m</w:t>
      </w:r>
      <w:r>
        <w:rPr>
          <w:rFonts w:hint="eastAsia" w:ascii="Times New Roman" w:hAnsi="Times New Roman" w:eastAsia="仿宋_GB2312"/>
          <w:kern w:val="0"/>
          <w:sz w:val="24"/>
          <w:szCs w:val="24"/>
          <w:vertAlign w:val="superscript"/>
          <w:lang w:eastAsia="zh-CN"/>
        </w:rPr>
        <w:t>3</w:t>
      </w:r>
      <w:r>
        <w:rPr>
          <w:rFonts w:hint="eastAsia" w:ascii="Times New Roman" w:hAnsi="Times New Roman" w:eastAsia="仿宋_GB2312"/>
          <w:kern w:val="0"/>
          <w:sz w:val="24"/>
          <w:szCs w:val="24"/>
          <w:lang w:eastAsia="zh-CN"/>
        </w:rPr>
        <w:t>/s，大于洪峰暴雨流量0.12m</w:t>
      </w:r>
      <w:r>
        <w:rPr>
          <w:rFonts w:hint="eastAsia" w:ascii="Times New Roman" w:hAnsi="Times New Roman" w:eastAsia="仿宋_GB2312"/>
          <w:kern w:val="0"/>
          <w:sz w:val="24"/>
          <w:szCs w:val="24"/>
          <w:vertAlign w:val="superscript"/>
          <w:lang w:eastAsia="zh-CN"/>
        </w:rPr>
        <w:t>3</w:t>
      </w:r>
      <w:r>
        <w:rPr>
          <w:rFonts w:hint="eastAsia" w:ascii="Times New Roman" w:hAnsi="Times New Roman" w:eastAsia="仿宋_GB2312"/>
          <w:kern w:val="0"/>
          <w:sz w:val="24"/>
          <w:szCs w:val="24"/>
          <w:lang w:eastAsia="zh-CN"/>
        </w:rPr>
        <w:t>/s，可保证满足过水要求。因此，该断面形式截、排水沟可满足本项目排水需求。</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w:t>
      </w:r>
      <w:r>
        <w:rPr>
          <w:rFonts w:hint="eastAsia" w:ascii="Times New Roman" w:hAnsi="Times New Roman" w:eastAsia="仿宋_GB2312"/>
          <w:kern w:val="0"/>
          <w:sz w:val="24"/>
          <w:szCs w:val="24"/>
          <w:lang w:val="en-US" w:eastAsia="zh-CN"/>
        </w:rPr>
        <w:t>4</w:t>
      </w:r>
      <w:r>
        <w:rPr>
          <w:rFonts w:hint="eastAsia" w:ascii="Times New Roman" w:hAnsi="Times New Roman" w:eastAsia="仿宋_GB2312"/>
          <w:kern w:val="0"/>
          <w:sz w:val="24"/>
          <w:szCs w:val="24"/>
          <w:lang w:eastAsia="zh-CN"/>
        </w:rPr>
        <w:t>）沉砂池</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项目截水沟和排水沟依次相连，顺接至沟道下游，在末端布设沉砂池一座，沉砂池容积为4.5m</w:t>
      </w:r>
      <w:r>
        <w:rPr>
          <w:rFonts w:hint="eastAsia" w:ascii="Times New Roman" w:hAnsi="Times New Roman" w:eastAsia="仿宋_GB2312"/>
          <w:kern w:val="0"/>
          <w:sz w:val="24"/>
          <w:szCs w:val="24"/>
          <w:vertAlign w:val="superscript"/>
          <w:lang w:eastAsia="zh-CN"/>
        </w:rPr>
        <w:t>3</w:t>
      </w:r>
      <w:r>
        <w:rPr>
          <w:rFonts w:hint="eastAsia" w:ascii="Times New Roman" w:hAnsi="Times New Roman" w:eastAsia="仿宋_GB2312"/>
          <w:kern w:val="0"/>
          <w:sz w:val="24"/>
          <w:szCs w:val="24"/>
          <w:lang w:eastAsia="zh-CN"/>
        </w:rPr>
        <w:t xml:space="preserve"> （长2m，宽1.5m，深1.5m）。</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（二）植物措施</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（1）本方案对采场水平平台区覆土后进行绿化，采取灌草混播方式，平台面积</w:t>
      </w:r>
      <w:r>
        <w:rPr>
          <w:rFonts w:hint="eastAsia" w:ascii="Times New Roman" w:hAnsi="Times New Roman" w:eastAsia="仿宋_GB2312"/>
          <w:kern w:val="0"/>
          <w:sz w:val="24"/>
          <w:szCs w:val="24"/>
          <w:lang w:val="en-US" w:eastAsia="zh-CN"/>
        </w:rPr>
        <w:t>1.51</w:t>
      </w:r>
      <w:r>
        <w:rPr>
          <w:rFonts w:hint="eastAsia" w:ascii="Times New Roman" w:hAnsi="Times New Roman" w:eastAsia="仿宋_GB2312"/>
          <w:kern w:val="0"/>
          <w:sz w:val="24"/>
          <w:szCs w:val="24"/>
          <w:lang w:eastAsia="zh-CN"/>
        </w:rPr>
        <w:t>hm²。</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（2）立地条件</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平台覆土30cm。</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（3）树、草种选择</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根据项目区气候条件及立地条件，平台选择栽植刺槐，林下混播耐寒、耐旱适合当地的紫花苜蓿草种，边坡坡脚选择攀爬植物爬山虎。</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（4）整地和密度</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平台栽植刺槐，采用穴状整地的方法，整为圆形坑穴，规格为直径30cm，深 30cm，植株高度150cm，株行距2m×3m。平台内侧边坡根部以株距</w:t>
      </w:r>
      <w:r>
        <w:rPr>
          <w:rFonts w:hint="eastAsia" w:ascii="Times New Roman" w:hAnsi="Times New Roman" w:eastAsia="仿宋_GB2312"/>
          <w:kern w:val="0"/>
          <w:sz w:val="24"/>
          <w:szCs w:val="24"/>
          <w:lang w:val="en-US" w:eastAsia="zh-CN"/>
        </w:rPr>
        <w:t>3.</w:t>
      </w:r>
      <w:r>
        <w:rPr>
          <w:rFonts w:hint="eastAsia" w:ascii="Times New Roman" w:hAnsi="Times New Roman" w:eastAsia="仿宋_GB2312"/>
          <w:kern w:val="0"/>
          <w:sz w:val="24"/>
          <w:szCs w:val="24"/>
          <w:lang w:eastAsia="zh-CN"/>
        </w:rPr>
        <w:t>00m栽植爬山虎。林下撒播紫花苜蓿，撒播密度45kg/hm²，恢复为有林地。</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（5）苗木规格</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刺槐树苗要求发育良好，根系完整，苗高150cm，无病虫和机械损伤；紫花苜蓿草种籽要求无霉烂、无病虫害的优种，纯度及发芽达90%以上。</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（6）造林技术要求</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 xml:space="preserve">刺槐采用边整地边栽种的施工方法，栽植时苗木放正，从四周填土至坑深1/3时将苗向上轻提，使根舒展，然后继续填土并踩实，栽植后每穴浇水5kg，三年内加强抚育管护。披碱草播种在荆条下和空地上，由于种籽较小，播种以锄开沟手撒籽，沟深2cm～3cm，覆土踩实。边坡坡脚栽植地锦，栽植时苗木放正，四周填土并踩实，栽植后每穴浇水2kg。 </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（7）工程量</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经计算采场栽植刺槐</w:t>
      </w:r>
      <w:r>
        <w:rPr>
          <w:rFonts w:hint="eastAsia" w:ascii="Times New Roman" w:hAnsi="Times New Roman" w:eastAsia="仿宋_GB2312"/>
          <w:kern w:val="0"/>
          <w:sz w:val="24"/>
          <w:szCs w:val="24"/>
          <w:lang w:val="en-US" w:eastAsia="zh-CN"/>
        </w:rPr>
        <w:t>2516</w:t>
      </w:r>
      <w:r>
        <w:rPr>
          <w:rFonts w:hint="eastAsia" w:ascii="Times New Roman" w:hAnsi="Times New Roman" w:eastAsia="仿宋_GB2312"/>
          <w:kern w:val="0"/>
          <w:sz w:val="24"/>
          <w:szCs w:val="24"/>
          <w:lang w:eastAsia="zh-CN"/>
        </w:rPr>
        <w:t>株，需苗量</w:t>
      </w:r>
      <w:r>
        <w:rPr>
          <w:rFonts w:hint="eastAsia" w:ascii="Times New Roman" w:hAnsi="Times New Roman" w:eastAsia="仿宋_GB2312"/>
          <w:kern w:val="0"/>
          <w:sz w:val="24"/>
          <w:szCs w:val="24"/>
          <w:lang w:val="en-US" w:eastAsia="zh-CN"/>
        </w:rPr>
        <w:t>2567</w:t>
      </w:r>
      <w:r>
        <w:rPr>
          <w:rFonts w:hint="eastAsia" w:ascii="Times New Roman" w:hAnsi="Times New Roman" w:eastAsia="仿宋_GB2312"/>
          <w:kern w:val="0"/>
          <w:sz w:val="24"/>
          <w:szCs w:val="24"/>
          <w:lang w:eastAsia="zh-CN"/>
        </w:rPr>
        <w:t>株，紫花苜蓿草籽</w:t>
      </w:r>
      <w:r>
        <w:rPr>
          <w:rFonts w:hint="eastAsia" w:ascii="Times New Roman" w:hAnsi="Times New Roman" w:eastAsia="仿宋_GB2312"/>
          <w:kern w:val="0"/>
          <w:sz w:val="24"/>
          <w:szCs w:val="24"/>
          <w:lang w:val="en-US" w:eastAsia="zh-CN"/>
        </w:rPr>
        <w:t>67.95</w:t>
      </w:r>
      <w:r>
        <w:rPr>
          <w:rFonts w:hint="eastAsia" w:ascii="Times New Roman" w:hAnsi="Times New Roman" w:eastAsia="仿宋_GB2312"/>
          <w:kern w:val="0"/>
          <w:sz w:val="24"/>
          <w:szCs w:val="24"/>
          <w:lang w:eastAsia="zh-CN"/>
        </w:rPr>
        <w:t>kg，爬山虎</w:t>
      </w:r>
      <w:r>
        <w:rPr>
          <w:rFonts w:hint="eastAsia" w:ascii="Times New Roman" w:hAnsi="Times New Roman" w:eastAsia="仿宋_GB2312"/>
          <w:kern w:val="0"/>
          <w:sz w:val="24"/>
          <w:szCs w:val="24"/>
          <w:lang w:val="en-US" w:eastAsia="zh-CN"/>
        </w:rPr>
        <w:t>752</w:t>
      </w:r>
      <w:r>
        <w:rPr>
          <w:rFonts w:hint="eastAsia" w:ascii="Times New Roman" w:hAnsi="Times New Roman" w:eastAsia="仿宋_GB2312"/>
          <w:kern w:val="0"/>
          <w:sz w:val="24"/>
          <w:szCs w:val="24"/>
          <w:lang w:eastAsia="zh-CN"/>
        </w:rPr>
        <w:t>株，需苗量</w:t>
      </w:r>
      <w:r>
        <w:rPr>
          <w:rFonts w:hint="eastAsia" w:ascii="Times New Roman" w:hAnsi="Times New Roman" w:eastAsia="仿宋_GB2312"/>
          <w:kern w:val="0"/>
          <w:sz w:val="24"/>
          <w:szCs w:val="24"/>
          <w:lang w:val="en-US" w:eastAsia="zh-CN"/>
        </w:rPr>
        <w:t>768</w:t>
      </w:r>
      <w:r>
        <w:rPr>
          <w:rFonts w:hint="eastAsia" w:ascii="Times New Roman" w:hAnsi="Times New Roman" w:eastAsia="仿宋_GB2312"/>
          <w:kern w:val="0"/>
          <w:sz w:val="24"/>
          <w:szCs w:val="24"/>
          <w:lang w:eastAsia="zh-CN"/>
        </w:rPr>
        <w:t>株。</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eastAsia="zh-CN"/>
        </w:rPr>
        <w:t>采场典型设计见见附图。</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5.3.</w:t>
      </w:r>
      <w:r>
        <w:rPr>
          <w:rFonts w:hint="eastAsia" w:eastAsia="仿宋_GB2312"/>
          <w:sz w:val="30"/>
          <w:szCs w:val="30"/>
          <w:lang w:val="en-US" w:eastAsia="zh-CN"/>
        </w:rPr>
        <w:t>2加工场地</w:t>
      </w:r>
      <w:r>
        <w:rPr>
          <w:rFonts w:hint="eastAsia" w:ascii="Times New Roman" w:hAnsi="Times New Roman" w:eastAsia="仿宋_GB2312"/>
          <w:sz w:val="30"/>
          <w:szCs w:val="30"/>
        </w:rPr>
        <w:t>防治区</w:t>
      </w:r>
    </w:p>
    <w:p>
      <w:pPr>
        <w:widowControl/>
        <w:spacing w:line="360" w:lineRule="auto"/>
        <w:ind w:firstLine="480" w:firstLineChars="200"/>
        <w:jc w:val="left"/>
        <w:rPr>
          <w:rFonts w:hint="eastAsia" w:ascii="Times New Roman" w:hAnsi="Times New Roman" w:eastAsia="仿宋_GB2312"/>
          <w:kern w:val="0"/>
          <w:sz w:val="24"/>
          <w:szCs w:val="24"/>
          <w:lang w:val="en-US" w:eastAsia="zh-CN"/>
        </w:rPr>
      </w:pPr>
      <w:r>
        <w:rPr>
          <w:rFonts w:hint="eastAsia" w:ascii="Times New Roman" w:hAnsi="Times New Roman" w:eastAsia="仿宋_GB2312"/>
          <w:kern w:val="0"/>
          <w:sz w:val="24"/>
          <w:szCs w:val="24"/>
          <w:lang w:val="en-US" w:eastAsia="zh-CN"/>
        </w:rPr>
        <w:t>设计在矿区外西区北西侧约310m处建设加工场地，占地面积约0.36hm</w:t>
      </w:r>
      <w:r>
        <w:rPr>
          <w:rFonts w:hint="eastAsia" w:ascii="Times New Roman" w:hAnsi="Times New Roman" w:eastAsia="仿宋_GB2312"/>
          <w:kern w:val="0"/>
          <w:sz w:val="24"/>
          <w:szCs w:val="24"/>
          <w:vertAlign w:val="superscript"/>
          <w:lang w:val="en-US" w:eastAsia="zh-CN"/>
        </w:rPr>
        <w:t>2</w:t>
      </w:r>
      <w:r>
        <w:rPr>
          <w:rFonts w:hint="eastAsia" w:ascii="Times New Roman" w:hAnsi="Times New Roman" w:eastAsia="仿宋_GB2312"/>
          <w:kern w:val="0"/>
          <w:sz w:val="24"/>
          <w:szCs w:val="24"/>
          <w:lang w:val="en-US" w:eastAsia="zh-CN"/>
        </w:rPr>
        <w:t>，场地安装石料破碎筛分设备，建设维修车间、配电室等，用于石料加工。方案新增加工场地排水沟设计。</w:t>
      </w:r>
    </w:p>
    <w:p>
      <w:pPr>
        <w:widowControl/>
        <w:spacing w:line="360" w:lineRule="auto"/>
        <w:ind w:firstLine="480" w:firstLineChars="200"/>
        <w:jc w:val="left"/>
        <w:rPr>
          <w:rFonts w:hint="eastAsia" w:ascii="Times New Roman" w:hAnsi="Times New Roman" w:eastAsia="仿宋_GB2312"/>
          <w:kern w:val="0"/>
          <w:sz w:val="24"/>
          <w:szCs w:val="24"/>
          <w:lang w:eastAsia="zh-CN"/>
        </w:rPr>
      </w:pPr>
      <w:r>
        <w:rPr>
          <w:rFonts w:hint="eastAsia" w:ascii="Times New Roman" w:hAnsi="Times New Roman" w:eastAsia="仿宋_GB2312"/>
          <w:kern w:val="0"/>
          <w:sz w:val="24"/>
          <w:szCs w:val="24"/>
          <w:lang w:val="en-US" w:eastAsia="zh-CN"/>
        </w:rPr>
        <w:t>在加工场地周边修建排水沟，</w:t>
      </w:r>
      <w:r>
        <w:rPr>
          <w:rFonts w:hint="eastAsia" w:ascii="Times New Roman" w:hAnsi="Times New Roman" w:eastAsia="仿宋_GB2312"/>
          <w:kern w:val="0"/>
          <w:sz w:val="24"/>
          <w:szCs w:val="24"/>
          <w:lang w:eastAsia="zh-CN"/>
        </w:rPr>
        <w:t>排水沟采用浆砌石（M7.5）矩形断面形式，底宽 0.4m，深 0.4m，壁厚 0.3m，共布设排水沟</w:t>
      </w:r>
      <w:r>
        <w:rPr>
          <w:rFonts w:hint="eastAsia" w:ascii="Times New Roman" w:hAnsi="Times New Roman" w:eastAsia="仿宋_GB2312"/>
          <w:kern w:val="0"/>
          <w:sz w:val="24"/>
          <w:szCs w:val="24"/>
          <w:lang w:val="en-US" w:eastAsia="zh-CN"/>
        </w:rPr>
        <w:t>310</w:t>
      </w:r>
      <w:r>
        <w:rPr>
          <w:rFonts w:hint="eastAsia" w:ascii="Times New Roman" w:hAnsi="Times New Roman" w:eastAsia="仿宋_GB2312"/>
          <w:kern w:val="0"/>
          <w:sz w:val="24"/>
          <w:szCs w:val="24"/>
          <w:lang w:eastAsia="zh-CN"/>
        </w:rPr>
        <w:t>m，土方开挖</w:t>
      </w:r>
      <w:r>
        <w:rPr>
          <w:rFonts w:hint="eastAsia" w:ascii="Times New Roman" w:hAnsi="Times New Roman" w:eastAsia="仿宋_GB2312"/>
          <w:kern w:val="0"/>
          <w:sz w:val="24"/>
          <w:szCs w:val="24"/>
          <w:lang w:val="en-US" w:eastAsia="zh-CN"/>
        </w:rPr>
        <w:t>291.63</w:t>
      </w:r>
      <w:r>
        <w:rPr>
          <w:rFonts w:hint="eastAsia" w:ascii="Times New Roman" w:hAnsi="Times New Roman" w:eastAsia="仿宋_GB2312"/>
          <w:kern w:val="0"/>
          <w:sz w:val="24"/>
          <w:szCs w:val="24"/>
          <w:lang w:eastAsia="zh-CN"/>
        </w:rPr>
        <w:t>m</w:t>
      </w:r>
      <w:r>
        <w:rPr>
          <w:rFonts w:hint="eastAsia" w:ascii="Times New Roman" w:hAnsi="Times New Roman" w:eastAsia="仿宋_GB2312"/>
          <w:kern w:val="0"/>
          <w:sz w:val="24"/>
          <w:szCs w:val="24"/>
          <w:vertAlign w:val="superscript"/>
          <w:lang w:eastAsia="zh-CN"/>
        </w:rPr>
        <w:t>3</w:t>
      </w:r>
      <w:r>
        <w:rPr>
          <w:rFonts w:hint="eastAsia" w:ascii="Times New Roman" w:hAnsi="Times New Roman" w:eastAsia="仿宋_GB2312"/>
          <w:kern w:val="0"/>
          <w:sz w:val="24"/>
          <w:szCs w:val="24"/>
          <w:lang w:eastAsia="zh-CN"/>
        </w:rPr>
        <w:t xml:space="preserve">，土方回填 </w:t>
      </w:r>
      <w:r>
        <w:rPr>
          <w:rFonts w:hint="eastAsia" w:ascii="Times New Roman" w:hAnsi="Times New Roman" w:eastAsia="仿宋_GB2312"/>
          <w:kern w:val="0"/>
          <w:sz w:val="24"/>
          <w:szCs w:val="24"/>
          <w:lang w:val="en-US" w:eastAsia="zh-CN"/>
        </w:rPr>
        <w:t>75.93</w:t>
      </w:r>
      <w:r>
        <w:rPr>
          <w:rFonts w:hint="eastAsia" w:ascii="Times New Roman" w:hAnsi="Times New Roman" w:eastAsia="仿宋_GB2312"/>
          <w:kern w:val="0"/>
          <w:sz w:val="24"/>
          <w:szCs w:val="24"/>
          <w:lang w:eastAsia="zh-CN"/>
        </w:rPr>
        <w:t>m</w:t>
      </w:r>
      <w:r>
        <w:rPr>
          <w:rFonts w:hint="eastAsia" w:ascii="Times New Roman" w:hAnsi="Times New Roman" w:eastAsia="仿宋_GB2312"/>
          <w:kern w:val="0"/>
          <w:sz w:val="24"/>
          <w:szCs w:val="24"/>
          <w:vertAlign w:val="superscript"/>
          <w:lang w:eastAsia="zh-CN"/>
        </w:rPr>
        <w:t>3</w:t>
      </w:r>
      <w:r>
        <w:rPr>
          <w:rFonts w:hint="eastAsia" w:ascii="Times New Roman" w:hAnsi="Times New Roman" w:eastAsia="仿宋_GB2312"/>
          <w:kern w:val="0"/>
          <w:sz w:val="24"/>
          <w:szCs w:val="24"/>
          <w:lang w:eastAsia="zh-CN"/>
        </w:rPr>
        <w:t xml:space="preserve">，浆砌石 </w:t>
      </w:r>
      <w:r>
        <w:rPr>
          <w:rFonts w:hint="eastAsia" w:ascii="Times New Roman" w:hAnsi="Times New Roman" w:eastAsia="仿宋_GB2312"/>
          <w:kern w:val="0"/>
          <w:sz w:val="24"/>
          <w:szCs w:val="24"/>
          <w:lang w:val="en-US" w:eastAsia="zh-CN"/>
        </w:rPr>
        <w:t>188.75</w:t>
      </w:r>
      <w:r>
        <w:rPr>
          <w:rFonts w:hint="eastAsia" w:ascii="Times New Roman" w:hAnsi="Times New Roman" w:eastAsia="仿宋_GB2312"/>
          <w:kern w:val="0"/>
          <w:sz w:val="24"/>
          <w:szCs w:val="24"/>
          <w:lang w:eastAsia="zh-CN"/>
        </w:rPr>
        <w:t>m</w:t>
      </w:r>
      <w:r>
        <w:rPr>
          <w:rFonts w:hint="eastAsia" w:ascii="Times New Roman" w:hAnsi="Times New Roman" w:eastAsia="仿宋_GB2312"/>
          <w:kern w:val="0"/>
          <w:sz w:val="24"/>
          <w:szCs w:val="24"/>
          <w:vertAlign w:val="superscript"/>
          <w:lang w:eastAsia="zh-CN"/>
        </w:rPr>
        <w:t>3</w:t>
      </w:r>
      <w:r>
        <w:rPr>
          <w:rFonts w:hint="eastAsia" w:ascii="Times New Roman" w:hAnsi="Times New Roman" w:eastAsia="仿宋_GB2312"/>
          <w:kern w:val="0"/>
          <w:sz w:val="24"/>
          <w:szCs w:val="24"/>
          <w:lang w:eastAsia="zh-CN"/>
        </w:rPr>
        <w:t>。</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5.3.</w:t>
      </w:r>
      <w:r>
        <w:rPr>
          <w:rFonts w:hint="eastAsia" w:eastAsia="仿宋_GB2312"/>
          <w:sz w:val="30"/>
          <w:szCs w:val="30"/>
          <w:lang w:val="en-US" w:eastAsia="zh-CN"/>
        </w:rPr>
        <w:t>3场地道路</w:t>
      </w:r>
      <w:r>
        <w:rPr>
          <w:rFonts w:hint="eastAsia" w:ascii="Times New Roman" w:hAnsi="Times New Roman" w:eastAsia="仿宋_GB2312"/>
          <w:sz w:val="30"/>
          <w:szCs w:val="30"/>
        </w:rPr>
        <w:t>防治区</w:t>
      </w:r>
    </w:p>
    <w:p>
      <w:pPr>
        <w:widowControl/>
        <w:spacing w:line="360" w:lineRule="auto"/>
        <w:ind w:firstLine="480" w:firstLineChars="200"/>
        <w:jc w:val="left"/>
        <w:rPr>
          <w:rFonts w:hint="eastAsia" w:ascii="Times New Roman" w:hAnsi="Times New Roman" w:eastAsia="仿宋_GB2312"/>
          <w:kern w:val="0"/>
          <w:sz w:val="24"/>
          <w:szCs w:val="24"/>
          <w:lang w:val="en-US" w:eastAsia="zh-CN"/>
        </w:rPr>
      </w:pPr>
      <w:r>
        <w:rPr>
          <w:rFonts w:hint="eastAsia" w:ascii="Times New Roman" w:hAnsi="Times New Roman" w:eastAsia="仿宋_GB2312"/>
          <w:kern w:val="0"/>
          <w:sz w:val="24"/>
          <w:szCs w:val="24"/>
          <w:lang w:val="en-US" w:eastAsia="zh-CN"/>
        </w:rPr>
        <w:t>新建连接采场和加工场地的场地道路，场地道路长2050m，宽4m，占地0.82hm</w:t>
      </w:r>
      <w:r>
        <w:rPr>
          <w:rFonts w:hint="eastAsia" w:ascii="Times New Roman" w:hAnsi="Times New Roman" w:eastAsia="仿宋_GB2312"/>
          <w:kern w:val="0"/>
          <w:sz w:val="24"/>
          <w:szCs w:val="24"/>
          <w:vertAlign w:val="superscript"/>
          <w:lang w:val="en-US" w:eastAsia="zh-CN"/>
        </w:rPr>
        <w:t>2</w:t>
      </w:r>
      <w:r>
        <w:rPr>
          <w:rFonts w:hint="eastAsia" w:ascii="Times New Roman" w:hAnsi="Times New Roman" w:eastAsia="仿宋_GB2312"/>
          <w:kern w:val="0"/>
          <w:sz w:val="24"/>
          <w:szCs w:val="24"/>
          <w:lang w:val="en-US" w:eastAsia="zh-CN"/>
        </w:rPr>
        <w:t>，道路两侧自然植被良好，方案新增道路一侧排水沟设计。</w:t>
      </w:r>
    </w:p>
    <w:p>
      <w:pPr>
        <w:widowControl/>
        <w:spacing w:line="360" w:lineRule="auto"/>
        <w:ind w:firstLine="480" w:firstLineChars="200"/>
        <w:jc w:val="left"/>
        <w:rPr>
          <w:rFonts w:hint="eastAsia" w:ascii="Times New Roman" w:hAnsi="Times New Roman" w:eastAsia="仿宋_GB2312"/>
          <w:kern w:val="0"/>
          <w:sz w:val="24"/>
          <w:szCs w:val="24"/>
          <w:lang w:val="en-US" w:eastAsia="zh-CN"/>
        </w:rPr>
      </w:pPr>
      <w:r>
        <w:rPr>
          <w:rFonts w:hint="eastAsia" w:ascii="Times New Roman" w:hAnsi="Times New Roman" w:eastAsia="仿宋_GB2312"/>
          <w:kern w:val="0"/>
          <w:sz w:val="24"/>
          <w:szCs w:val="24"/>
          <w:lang w:val="en-US" w:eastAsia="zh-CN"/>
        </w:rPr>
        <w:t>排水沟采用浆砌石（M7.5）矩形断面形式，底宽 0.4m，深 0.4m，壁厚 0.3m，共布设排水沟2050m，土方开挖1928.49m</w:t>
      </w:r>
      <w:r>
        <w:rPr>
          <w:rFonts w:hint="eastAsia" w:ascii="Times New Roman" w:hAnsi="Times New Roman" w:eastAsia="仿宋_GB2312"/>
          <w:kern w:val="0"/>
          <w:sz w:val="24"/>
          <w:szCs w:val="24"/>
          <w:vertAlign w:val="superscript"/>
          <w:lang w:val="en-US" w:eastAsia="zh-CN"/>
        </w:rPr>
        <w:t>3</w:t>
      </w:r>
      <w:r>
        <w:rPr>
          <w:rFonts w:hint="eastAsia" w:ascii="Times New Roman" w:hAnsi="Times New Roman" w:eastAsia="仿宋_GB2312"/>
          <w:kern w:val="0"/>
          <w:sz w:val="24"/>
          <w:szCs w:val="24"/>
          <w:lang w:val="en-US" w:eastAsia="zh-CN"/>
        </w:rPr>
        <w:t>，土方回填502.08m</w:t>
      </w:r>
      <w:r>
        <w:rPr>
          <w:rFonts w:hint="eastAsia" w:ascii="Times New Roman" w:hAnsi="Times New Roman" w:eastAsia="仿宋_GB2312"/>
          <w:kern w:val="0"/>
          <w:sz w:val="24"/>
          <w:szCs w:val="24"/>
          <w:vertAlign w:val="superscript"/>
          <w:lang w:val="en-US" w:eastAsia="zh-CN"/>
        </w:rPr>
        <w:t>3</w:t>
      </w:r>
      <w:r>
        <w:rPr>
          <w:rFonts w:hint="eastAsia" w:ascii="Times New Roman" w:hAnsi="Times New Roman" w:eastAsia="仿宋_GB2312"/>
          <w:kern w:val="0"/>
          <w:sz w:val="24"/>
          <w:szCs w:val="24"/>
          <w:lang w:val="en-US" w:eastAsia="zh-CN"/>
        </w:rPr>
        <w:t>，浆砌石1248.19m</w:t>
      </w:r>
      <w:r>
        <w:rPr>
          <w:rFonts w:hint="eastAsia" w:ascii="Times New Roman" w:hAnsi="Times New Roman" w:eastAsia="仿宋_GB2312"/>
          <w:kern w:val="0"/>
          <w:sz w:val="24"/>
          <w:szCs w:val="24"/>
          <w:vertAlign w:val="superscript"/>
          <w:lang w:val="en-US" w:eastAsia="zh-CN"/>
        </w:rPr>
        <w:t>3</w:t>
      </w:r>
      <w:r>
        <w:rPr>
          <w:rFonts w:hint="eastAsia" w:ascii="Times New Roman" w:hAnsi="Times New Roman" w:eastAsia="仿宋_GB2312"/>
          <w:kern w:val="0"/>
          <w:sz w:val="24"/>
          <w:szCs w:val="24"/>
          <w:lang w:val="en-US" w:eastAsia="zh-CN"/>
        </w:rPr>
        <w:t>。</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5.3.</w:t>
      </w:r>
      <w:r>
        <w:rPr>
          <w:rFonts w:hint="eastAsia" w:eastAsia="仿宋_GB2312"/>
          <w:sz w:val="30"/>
          <w:szCs w:val="30"/>
          <w:lang w:val="en-US" w:eastAsia="zh-CN"/>
        </w:rPr>
        <w:t>3输电线路</w:t>
      </w:r>
      <w:r>
        <w:rPr>
          <w:rFonts w:hint="eastAsia" w:ascii="Times New Roman" w:hAnsi="Times New Roman" w:eastAsia="仿宋_GB2312"/>
          <w:sz w:val="30"/>
          <w:szCs w:val="30"/>
        </w:rPr>
        <w:t>防治区</w:t>
      </w:r>
    </w:p>
    <w:p>
      <w:pPr>
        <w:widowControl/>
        <w:spacing w:line="360" w:lineRule="auto"/>
        <w:ind w:firstLine="480" w:firstLineChars="200"/>
        <w:jc w:val="left"/>
        <w:rPr>
          <w:rFonts w:hint="eastAsia" w:ascii="Times New Roman" w:hAnsi="Times New Roman" w:eastAsia="仿宋_GB2312"/>
          <w:kern w:val="0"/>
          <w:sz w:val="24"/>
          <w:szCs w:val="24"/>
          <w:lang w:val="en-US" w:eastAsia="zh-CN"/>
        </w:rPr>
      </w:pPr>
      <w:r>
        <w:rPr>
          <w:rFonts w:hint="eastAsia" w:ascii="Times New Roman" w:hAnsi="Times New Roman" w:eastAsia="仿宋_GB2312"/>
          <w:kern w:val="0"/>
          <w:sz w:val="24"/>
          <w:szCs w:val="24"/>
          <w:lang w:val="en-US" w:eastAsia="zh-CN"/>
        </w:rPr>
        <w:t>输电线路已建成多年，施工扰动的地面已恢复植被，无需新增措施。</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5.3.</w:t>
      </w:r>
      <w:r>
        <w:rPr>
          <w:rFonts w:hint="eastAsia" w:ascii="Times New Roman" w:hAnsi="Times New Roman" w:eastAsia="仿宋_GB2312"/>
          <w:sz w:val="30"/>
          <w:szCs w:val="30"/>
          <w:lang w:val="en-US" w:eastAsia="zh-CN"/>
        </w:rPr>
        <w:t>4</w:t>
      </w:r>
      <w:r>
        <w:rPr>
          <w:rFonts w:ascii="Times New Roman" w:hAnsi="Times New Roman" w:eastAsia="仿宋_GB2312"/>
          <w:sz w:val="30"/>
          <w:szCs w:val="30"/>
        </w:rPr>
        <w:t>防治措施工程量汇总</w:t>
      </w:r>
    </w:p>
    <w:p>
      <w:pPr>
        <w:spacing w:line="360" w:lineRule="auto"/>
        <w:ind w:firstLine="480" w:firstLineChars="200"/>
        <w:jc w:val="left"/>
        <w:rPr>
          <w:rFonts w:hint="eastAsia" w:ascii="Times New Roman" w:hAnsi="Times New Roman" w:eastAsia="仿宋_GB2312"/>
          <w:kern w:val="0"/>
          <w:sz w:val="24"/>
          <w:szCs w:val="24"/>
          <w:lang w:eastAsia="zh-CN"/>
        </w:rPr>
      </w:pPr>
      <w:r>
        <w:rPr>
          <w:rFonts w:ascii="Times New Roman" w:hAnsi="Times New Roman" w:eastAsia="仿宋_GB2312"/>
          <w:kern w:val="0"/>
          <w:sz w:val="24"/>
          <w:szCs w:val="24"/>
        </w:rPr>
        <w:t>本方案工程措施工程量见表5</w:t>
      </w:r>
      <w:r>
        <w:rPr>
          <w:rFonts w:hint="eastAsia" w:ascii="Times New Roman" w:hAnsi="Times New Roman" w:eastAsia="仿宋_GB2312"/>
          <w:kern w:val="0"/>
          <w:sz w:val="24"/>
          <w:szCs w:val="24"/>
          <w:lang w:val="en-US" w:eastAsia="zh-CN"/>
        </w:rPr>
        <w:t>-</w:t>
      </w:r>
      <w:r>
        <w:rPr>
          <w:rFonts w:ascii="Times New Roman" w:hAnsi="Times New Roman" w:eastAsia="仿宋_GB2312"/>
          <w:kern w:val="0"/>
          <w:sz w:val="24"/>
          <w:szCs w:val="24"/>
        </w:rPr>
        <w:t>1，植物措施工程量见表5</w:t>
      </w:r>
      <w:r>
        <w:rPr>
          <w:rFonts w:hint="eastAsia" w:ascii="Times New Roman" w:hAnsi="Times New Roman" w:eastAsia="仿宋_GB2312"/>
          <w:kern w:val="0"/>
          <w:sz w:val="24"/>
          <w:szCs w:val="24"/>
          <w:lang w:val="en-US" w:eastAsia="zh-CN"/>
        </w:rPr>
        <w:t>-</w:t>
      </w:r>
      <w:r>
        <w:rPr>
          <w:rFonts w:ascii="Times New Roman" w:hAnsi="Times New Roman" w:eastAsia="仿宋_GB2312"/>
          <w:kern w:val="0"/>
          <w:sz w:val="24"/>
          <w:szCs w:val="24"/>
        </w:rPr>
        <w:t>2</w:t>
      </w:r>
      <w:r>
        <w:rPr>
          <w:rFonts w:hint="eastAsia" w:ascii="Times New Roman" w:hAnsi="Times New Roman" w:eastAsia="仿宋_GB2312"/>
          <w:kern w:val="0"/>
          <w:sz w:val="24"/>
          <w:szCs w:val="24"/>
          <w:lang w:eastAsia="zh-CN"/>
        </w:rPr>
        <w:t>。</w:t>
      </w:r>
    </w:p>
    <w:p>
      <w:pPr>
        <w:rPr>
          <w:rFonts w:ascii="Times New Roman" w:hAnsi="Times New Roman" w:eastAsia="仿宋_GB2312"/>
          <w:b/>
          <w:bCs/>
          <w:sz w:val="24"/>
        </w:rPr>
      </w:pPr>
      <w:r>
        <w:rPr>
          <w:rFonts w:ascii="Times New Roman" w:hAnsi="Times New Roman" w:eastAsia="仿宋_GB2312"/>
          <w:b/>
          <w:bCs/>
          <w:sz w:val="24"/>
        </w:rPr>
        <w:br w:type="page"/>
      </w:r>
    </w:p>
    <w:p>
      <w:pPr>
        <w:pStyle w:val="43"/>
        <w:ind w:firstLine="480"/>
        <w:jc w:val="center"/>
        <w:rPr>
          <w:rFonts w:hint="eastAsia"/>
          <w:snapToGrid w:val="0"/>
          <w:kern w:val="0"/>
        </w:rPr>
      </w:pPr>
      <w:r>
        <w:rPr>
          <w:rFonts w:ascii="Times New Roman" w:hAnsi="Times New Roman" w:eastAsia="仿宋_GB2312"/>
          <w:b/>
          <w:bCs/>
          <w:sz w:val="24"/>
        </w:rPr>
        <w:t>表</w:t>
      </w:r>
      <w:r>
        <w:rPr>
          <w:rFonts w:hint="eastAsia" w:eastAsia="仿宋_GB2312"/>
          <w:b/>
          <w:bCs/>
          <w:sz w:val="24"/>
          <w:lang w:val="en-US" w:eastAsia="zh-CN"/>
        </w:rPr>
        <w:t>5</w:t>
      </w:r>
      <w:r>
        <w:rPr>
          <w:rFonts w:hint="eastAsia" w:ascii="Times New Roman" w:hAnsi="Times New Roman" w:eastAsia="仿宋_GB2312"/>
          <w:b/>
          <w:bCs/>
          <w:sz w:val="24"/>
          <w:lang w:val="en-US" w:eastAsia="zh-CN"/>
        </w:rPr>
        <w:t>-</w:t>
      </w:r>
      <w:r>
        <w:rPr>
          <w:rFonts w:ascii="Times New Roman" w:hAnsi="Times New Roman" w:eastAsia="仿宋_GB2312"/>
          <w:b/>
          <w:bCs/>
          <w:sz w:val="24"/>
        </w:rPr>
        <w:t>1  工程措施工程量汇总表</w:t>
      </w:r>
    </w:p>
    <w:tbl>
      <w:tblPr>
        <w:tblStyle w:val="24"/>
        <w:tblW w:w="88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85"/>
        <w:gridCol w:w="1747"/>
        <w:gridCol w:w="1266"/>
        <w:gridCol w:w="1266"/>
        <w:gridCol w:w="1265"/>
        <w:gridCol w:w="1265"/>
        <w:gridCol w:w="12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6"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序号</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工程或费用名称</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单位</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数 量</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调整系数</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调整后数量</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3" w:hRule="atLeast"/>
          <w:jc w:val="center"/>
        </w:trPr>
        <w:tc>
          <w:tcPr>
            <w:tcW w:w="25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w:t>
            </w:r>
            <w:r>
              <w:rPr>
                <w:rStyle w:val="198"/>
                <w:rFonts w:hAnsi="宋体"/>
                <w:lang w:val="en-US" w:eastAsia="zh-CN" w:bidi="ar"/>
              </w:rPr>
              <w:t xml:space="preserve"> 工程措施</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6"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采场</w:t>
            </w:r>
            <w:r>
              <w:rPr>
                <w:rFonts w:hint="default" w:ascii="仿宋_GB2312" w:hAnsi="宋体" w:eastAsia="仿宋_GB2312" w:cs="仿宋_GB2312"/>
                <w:b/>
                <w:i w:val="0"/>
                <w:color w:val="000000"/>
                <w:kern w:val="0"/>
                <w:sz w:val="21"/>
                <w:szCs w:val="21"/>
                <w:u w:val="none"/>
                <w:lang w:val="en-US" w:eastAsia="zh-CN" w:bidi="ar"/>
              </w:rPr>
              <w:t>防治区</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1"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1</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排水沟</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2255</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234</w:t>
            </w:r>
            <w:r>
              <w:rPr>
                <w:rFonts w:hint="eastAsia" w:eastAsia="宋体" w:cs="Times New Roman"/>
                <w:i w:val="0"/>
                <w:color w:val="000000"/>
                <w:kern w:val="0"/>
                <w:sz w:val="21"/>
                <w:szCs w:val="21"/>
                <w:u w:val="none"/>
                <w:lang w:val="en-US" w:eastAsia="zh-CN" w:bidi="ar"/>
              </w:rPr>
              <w:t>6</w:t>
            </w:r>
            <w:r>
              <w:rPr>
                <w:rFonts w:hint="eastAsia" w:ascii="Times New Roman" w:hAnsi="Times New Roman" w:eastAsia="宋体" w:cs="Times New Roman"/>
                <w:i w:val="0"/>
                <w:color w:val="000000"/>
                <w:kern w:val="0"/>
                <w:sz w:val="21"/>
                <w:szCs w:val="21"/>
                <w:u w:val="none"/>
                <w:lang w:val="en-US" w:eastAsia="zh-CN" w:bidi="ar"/>
              </w:rPr>
              <w:t xml:space="preserve"> </w:t>
            </w:r>
          </w:p>
        </w:tc>
        <w:tc>
          <w:tcPr>
            <w:tcW w:w="1266"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1"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i w:val="0"/>
                <w:color w:val="000000"/>
                <w:sz w:val="21"/>
                <w:szCs w:val="21"/>
                <w:u w:val="none"/>
              </w:rPr>
            </w:pP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土方开挖</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2121.34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2206.19 </w:t>
            </w:r>
          </w:p>
        </w:tc>
        <w:tc>
          <w:tcPr>
            <w:tcW w:w="1266" w:type="dxa"/>
            <w:vMerge w:val="continue"/>
            <w:tcBorders>
              <w:left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1"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i w:val="0"/>
                <w:color w:val="000000"/>
                <w:sz w:val="21"/>
                <w:szCs w:val="21"/>
                <w:u w:val="none"/>
              </w:rPr>
            </w:pP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土方回填</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552.29</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574.38 </w:t>
            </w:r>
          </w:p>
        </w:tc>
        <w:tc>
          <w:tcPr>
            <w:tcW w:w="1266" w:type="dxa"/>
            <w:vMerge w:val="continue"/>
            <w:tcBorders>
              <w:left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1"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i w:val="0"/>
                <w:color w:val="000000"/>
                <w:sz w:val="21"/>
                <w:szCs w:val="21"/>
                <w:u w:val="none"/>
              </w:rPr>
            </w:pP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浆砌石</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1373.02</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1427.94 </w:t>
            </w:r>
          </w:p>
        </w:tc>
        <w:tc>
          <w:tcPr>
            <w:tcW w:w="1266" w:type="dxa"/>
            <w:vMerge w:val="continue"/>
            <w:tcBorders>
              <w:left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1"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b/>
                <w:i w:val="0"/>
                <w:color w:val="000000"/>
                <w:sz w:val="21"/>
                <w:szCs w:val="21"/>
                <w:u w:val="none"/>
                <w:lang w:val="en-US" w:eastAsia="zh-CN"/>
              </w:rPr>
            </w:pPr>
            <w:r>
              <w:rPr>
                <w:rFonts w:hint="eastAsia" w:ascii="仿宋_GB2312" w:hAnsi="宋体" w:eastAsia="仿宋_GB2312" w:cs="仿宋_GB2312"/>
                <w:b w:val="0"/>
                <w:bCs/>
                <w:i w:val="0"/>
                <w:color w:val="000000"/>
                <w:sz w:val="21"/>
                <w:szCs w:val="21"/>
                <w:u w:val="none"/>
                <w:lang w:val="en-US" w:eastAsia="zh-CN"/>
              </w:rPr>
              <w:t>2</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截水</w:t>
            </w:r>
            <w:r>
              <w:rPr>
                <w:rFonts w:hint="default" w:ascii="仿宋_GB2312" w:hAnsi="宋体" w:eastAsia="仿宋_GB2312" w:cs="仿宋_GB2312"/>
                <w:i w:val="0"/>
                <w:color w:val="000000"/>
                <w:kern w:val="0"/>
                <w:sz w:val="21"/>
                <w:szCs w:val="21"/>
                <w:u w:val="none"/>
                <w:lang w:val="en-US" w:eastAsia="zh-CN" w:bidi="ar"/>
              </w:rPr>
              <w:t>沟</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m</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800</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832</w:t>
            </w:r>
          </w:p>
        </w:tc>
        <w:tc>
          <w:tcPr>
            <w:tcW w:w="1266" w:type="dxa"/>
            <w:vMerge w:val="continue"/>
            <w:tcBorders>
              <w:left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1"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i w:val="0"/>
                <w:color w:val="000000"/>
                <w:sz w:val="21"/>
                <w:szCs w:val="21"/>
                <w:u w:val="none"/>
              </w:rPr>
            </w:pP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土方开挖</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752.58</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782.68 </w:t>
            </w:r>
          </w:p>
        </w:tc>
        <w:tc>
          <w:tcPr>
            <w:tcW w:w="1266" w:type="dxa"/>
            <w:vMerge w:val="continue"/>
            <w:tcBorders>
              <w:left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1"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i w:val="0"/>
                <w:color w:val="000000"/>
                <w:sz w:val="21"/>
                <w:szCs w:val="21"/>
                <w:u w:val="none"/>
              </w:rPr>
            </w:pP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土方回填</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195.49</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203.31 </w:t>
            </w:r>
          </w:p>
        </w:tc>
        <w:tc>
          <w:tcPr>
            <w:tcW w:w="1266" w:type="dxa"/>
            <w:vMerge w:val="continue"/>
            <w:tcBorders>
              <w:left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1"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i w:val="0"/>
                <w:color w:val="000000"/>
                <w:sz w:val="21"/>
                <w:szCs w:val="21"/>
                <w:u w:val="none"/>
              </w:rPr>
            </w:pP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浆砌石</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487.10</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506.58 </w:t>
            </w:r>
          </w:p>
        </w:tc>
        <w:tc>
          <w:tcPr>
            <w:tcW w:w="1266" w:type="dxa"/>
            <w:vMerge w:val="continue"/>
            <w:tcBorders>
              <w:left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1"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宋体" w:eastAsia="仿宋_GB2312" w:cs="仿宋_GB2312"/>
                <w:b/>
                <w:i w:val="0"/>
                <w:color w:val="000000"/>
                <w:sz w:val="21"/>
                <w:szCs w:val="21"/>
                <w:u w:val="none"/>
                <w:lang w:val="en-US" w:eastAsia="zh-CN"/>
              </w:rPr>
            </w:pPr>
            <w:r>
              <w:rPr>
                <w:rFonts w:hint="eastAsia" w:ascii="仿宋_GB2312" w:hAnsi="宋体" w:eastAsia="仿宋_GB2312" w:cs="仿宋_GB2312"/>
                <w:b w:val="0"/>
                <w:bCs/>
                <w:i w:val="0"/>
                <w:color w:val="000000"/>
                <w:sz w:val="21"/>
                <w:szCs w:val="21"/>
                <w:u w:val="none"/>
                <w:lang w:val="en-US" w:eastAsia="zh-CN"/>
              </w:rPr>
              <w:t>3</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覆土</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4600</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4784.00 </w:t>
            </w:r>
          </w:p>
        </w:tc>
        <w:tc>
          <w:tcPr>
            <w:tcW w:w="1266" w:type="dxa"/>
            <w:vMerge w:val="continue"/>
            <w:tcBorders>
              <w:left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1"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sz w:val="21"/>
                <w:szCs w:val="21"/>
                <w:u w:val="none"/>
                <w:lang w:val="en-US" w:eastAsia="zh-CN"/>
              </w:rPr>
            </w:pPr>
            <w:r>
              <w:rPr>
                <w:rFonts w:hint="eastAsia" w:ascii="仿宋_GB2312" w:hAnsi="宋体" w:eastAsia="仿宋_GB2312" w:cs="仿宋_GB2312"/>
                <w:b w:val="0"/>
                <w:bCs/>
                <w:i w:val="0"/>
                <w:color w:val="000000"/>
                <w:sz w:val="21"/>
                <w:szCs w:val="21"/>
                <w:u w:val="none"/>
                <w:lang w:val="en-US" w:eastAsia="zh-CN"/>
              </w:rPr>
              <w:t>4</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b w:val="0"/>
                <w:bCs/>
                <w:i w:val="0"/>
                <w:color w:val="000000"/>
                <w:sz w:val="21"/>
                <w:szCs w:val="21"/>
                <w:u w:val="none"/>
                <w:lang w:val="en-US" w:eastAsia="zh-CN"/>
              </w:rPr>
              <w:t>沉砂池</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座</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w:t>
            </w:r>
          </w:p>
        </w:tc>
        <w:tc>
          <w:tcPr>
            <w:tcW w:w="1266" w:type="dxa"/>
            <w:vMerge w:val="continue"/>
            <w:tcBorders>
              <w:left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1"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b w:val="0"/>
                <w:bCs/>
                <w:i w:val="0"/>
                <w:color w:val="000000"/>
                <w:sz w:val="21"/>
                <w:szCs w:val="21"/>
                <w:u w:val="none"/>
                <w:lang w:val="en-US" w:eastAsia="zh-CN"/>
              </w:rPr>
            </w:pPr>
            <w:r>
              <w:rPr>
                <w:rFonts w:hint="eastAsia" w:ascii="仿宋_GB2312" w:hAnsi="宋体" w:eastAsia="仿宋_GB2312" w:cs="仿宋_GB2312"/>
                <w:b w:val="0"/>
                <w:bCs/>
                <w:i w:val="0"/>
                <w:color w:val="000000"/>
                <w:sz w:val="21"/>
                <w:szCs w:val="21"/>
                <w:u w:val="none"/>
                <w:lang w:val="en-US" w:eastAsia="zh-CN"/>
              </w:rPr>
              <w:t>5</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val="0"/>
                <w:bCs/>
                <w:i w:val="0"/>
                <w:color w:val="000000"/>
                <w:sz w:val="21"/>
                <w:szCs w:val="21"/>
                <w:u w:val="none"/>
                <w:lang w:val="en-US" w:eastAsia="zh-CN"/>
              </w:rPr>
            </w:pPr>
            <w:r>
              <w:rPr>
                <w:rFonts w:hint="eastAsia" w:ascii="仿宋_GB2312" w:hAnsi="宋体" w:eastAsia="仿宋_GB2312" w:cs="仿宋_GB2312"/>
                <w:b w:val="0"/>
                <w:bCs/>
                <w:i w:val="0"/>
                <w:color w:val="000000"/>
                <w:sz w:val="21"/>
                <w:szCs w:val="21"/>
                <w:u w:val="none"/>
                <w:lang w:val="en-US" w:eastAsia="zh-CN"/>
              </w:rPr>
              <w:t>土地平整</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hm</w:t>
            </w:r>
            <w:r>
              <w:rPr>
                <w:rFonts w:hint="eastAsia" w:eastAsia="宋体" w:cs="Times New Roman"/>
                <w:i w:val="0"/>
                <w:color w:val="000000"/>
                <w:kern w:val="0"/>
                <w:sz w:val="21"/>
                <w:szCs w:val="21"/>
                <w:u w:val="none"/>
                <w:vertAlign w:val="superscript"/>
                <w:lang w:val="en-US" w:eastAsia="zh-CN" w:bidi="ar"/>
              </w:rPr>
              <w:t>2</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1.51</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1.57</w:t>
            </w:r>
          </w:p>
        </w:tc>
        <w:tc>
          <w:tcPr>
            <w:tcW w:w="1266"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6"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二</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加工场地防治区</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 </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1"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排水沟</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310</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32</w:t>
            </w:r>
            <w:r>
              <w:rPr>
                <w:rFonts w:hint="eastAsia" w:eastAsia="宋体" w:cs="Times New Roman"/>
                <w:i w:val="0"/>
                <w:color w:val="000000"/>
                <w:kern w:val="0"/>
                <w:sz w:val="21"/>
                <w:szCs w:val="21"/>
                <w:u w:val="none"/>
                <w:lang w:val="en-US" w:eastAsia="zh-CN" w:bidi="ar"/>
              </w:rPr>
              <w:t>3</w:t>
            </w:r>
          </w:p>
        </w:tc>
        <w:tc>
          <w:tcPr>
            <w:tcW w:w="126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3"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土方开挖</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291.63</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303.30 </w:t>
            </w:r>
          </w:p>
        </w:tc>
        <w:tc>
          <w:tcPr>
            <w:tcW w:w="126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3"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土方回填</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75.93</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78.97 </w:t>
            </w:r>
          </w:p>
        </w:tc>
        <w:tc>
          <w:tcPr>
            <w:tcW w:w="126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3"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浆砌石</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188.75</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196.30 </w:t>
            </w:r>
          </w:p>
        </w:tc>
        <w:tc>
          <w:tcPr>
            <w:tcW w:w="126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6"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三</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场地道路防治区</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3"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1</w:t>
            </w: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排水沟</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2050</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2132 </w:t>
            </w:r>
          </w:p>
        </w:tc>
        <w:tc>
          <w:tcPr>
            <w:tcW w:w="126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3"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土方开挖</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1928.49</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2005.63 </w:t>
            </w:r>
          </w:p>
        </w:tc>
        <w:tc>
          <w:tcPr>
            <w:tcW w:w="126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3"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土方回填</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502.08</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522.16 </w:t>
            </w:r>
          </w:p>
        </w:tc>
        <w:tc>
          <w:tcPr>
            <w:tcW w:w="126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7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7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浆砌石</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1248.19</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1.04</w:t>
            </w:r>
          </w:p>
        </w:tc>
        <w:tc>
          <w:tcPr>
            <w:tcW w:w="12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1298.12 </w:t>
            </w:r>
          </w:p>
        </w:tc>
        <w:tc>
          <w:tcPr>
            <w:tcW w:w="126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bl>
    <w:p>
      <w:pPr>
        <w:rPr>
          <w:rFonts w:ascii="Times New Roman" w:hAnsi="Times New Roman" w:eastAsia="仿宋_GB2312"/>
          <w:b/>
          <w:bCs/>
          <w:sz w:val="24"/>
        </w:rPr>
      </w:pPr>
      <w:r>
        <w:rPr>
          <w:rFonts w:ascii="Times New Roman" w:hAnsi="Times New Roman" w:eastAsia="仿宋_GB2312"/>
          <w:b/>
          <w:bCs/>
          <w:sz w:val="24"/>
        </w:rPr>
        <w:br w:type="page"/>
      </w:r>
    </w:p>
    <w:p>
      <w:pPr>
        <w:spacing w:before="156" w:beforeLines="50"/>
        <w:jc w:val="center"/>
        <w:rPr>
          <w:rFonts w:ascii="Times New Roman" w:hAnsi="Times New Roman" w:eastAsia="仿宋_GB2312"/>
          <w:b/>
          <w:bCs/>
          <w:sz w:val="24"/>
        </w:rPr>
      </w:pPr>
      <w:r>
        <w:rPr>
          <w:rFonts w:ascii="Times New Roman" w:hAnsi="Times New Roman" w:eastAsia="仿宋_GB2312"/>
          <w:b/>
          <w:bCs/>
          <w:sz w:val="24"/>
        </w:rPr>
        <w:t>表</w:t>
      </w:r>
      <w:r>
        <w:rPr>
          <w:rFonts w:hint="eastAsia" w:eastAsia="仿宋_GB2312"/>
          <w:b/>
          <w:bCs/>
          <w:sz w:val="24"/>
          <w:lang w:val="en-US" w:eastAsia="zh-CN"/>
        </w:rPr>
        <w:t>5</w:t>
      </w:r>
      <w:r>
        <w:rPr>
          <w:rFonts w:hint="eastAsia" w:ascii="Times New Roman" w:hAnsi="Times New Roman" w:eastAsia="仿宋_GB2312"/>
          <w:b/>
          <w:bCs/>
          <w:sz w:val="24"/>
          <w:lang w:val="en-US" w:eastAsia="zh-CN"/>
        </w:rPr>
        <w:t>-</w:t>
      </w:r>
      <w:r>
        <w:rPr>
          <w:rFonts w:ascii="Times New Roman" w:hAnsi="Times New Roman" w:eastAsia="仿宋_GB2312"/>
          <w:b/>
          <w:bCs/>
          <w:sz w:val="24"/>
        </w:rPr>
        <w:t>2  植物措施工程量汇总表</w:t>
      </w:r>
    </w:p>
    <w:tbl>
      <w:tblPr>
        <w:tblStyle w:val="24"/>
        <w:tblW w:w="90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04"/>
        <w:gridCol w:w="2000"/>
        <w:gridCol w:w="979"/>
        <w:gridCol w:w="1295"/>
        <w:gridCol w:w="1294"/>
        <w:gridCol w:w="1294"/>
        <w:gridCol w:w="12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6"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序号</w:t>
            </w: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工程或费用名称</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单位</w:t>
            </w: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工程量</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调整系数</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调整后数量</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290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 植物措施</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6"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一</w:t>
            </w: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采场防治区</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栽植刺槐</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6"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穴状整地（3</w:t>
            </w:r>
            <w:r>
              <w:rPr>
                <w:rStyle w:val="199"/>
                <w:rFonts w:eastAsia="仿宋_GB2312"/>
                <w:lang w:val="en-US" w:eastAsia="zh-CN" w:bidi="ar"/>
              </w:rPr>
              <w:t>0×</w:t>
            </w:r>
            <w:r>
              <w:rPr>
                <w:rStyle w:val="200"/>
                <w:rFonts w:hAnsi="宋体"/>
                <w:lang w:val="en-US" w:eastAsia="zh-CN" w:bidi="ar"/>
              </w:rPr>
              <w:t>3</w:t>
            </w:r>
            <w:r>
              <w:rPr>
                <w:rStyle w:val="199"/>
                <w:rFonts w:eastAsia="仿宋_GB2312"/>
                <w:lang w:val="en-US" w:eastAsia="zh-CN" w:bidi="ar"/>
              </w:rPr>
              <w:t>0</w:t>
            </w:r>
            <w:r>
              <w:rPr>
                <w:rStyle w:val="200"/>
                <w:rFonts w:hAnsi="宋体"/>
                <w:lang w:val="en-US" w:eastAsia="zh-CN" w:bidi="ar"/>
              </w:rPr>
              <w:t>）</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个</w:t>
            </w: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2516</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1.03 </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259</w:t>
            </w:r>
            <w:r>
              <w:rPr>
                <w:rFonts w:hint="eastAsia" w:eastAsia="宋体" w:cs="Times New Roman"/>
                <w:i w:val="0"/>
                <w:color w:val="000000"/>
                <w:kern w:val="0"/>
                <w:sz w:val="21"/>
                <w:szCs w:val="21"/>
                <w:u w:val="none"/>
                <w:lang w:val="en-US" w:eastAsia="zh-CN" w:bidi="ar"/>
              </w:rPr>
              <w:t>2</w:t>
            </w:r>
          </w:p>
        </w:tc>
        <w:tc>
          <w:tcPr>
            <w:tcW w:w="12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栽植苗数</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株</w:t>
            </w: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2516</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1.03 </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259</w:t>
            </w:r>
            <w:r>
              <w:rPr>
                <w:rFonts w:hint="eastAsia" w:eastAsia="宋体" w:cs="Times New Roman"/>
                <w:i w:val="0"/>
                <w:color w:val="000000"/>
                <w:kern w:val="0"/>
                <w:sz w:val="21"/>
                <w:szCs w:val="21"/>
                <w:u w:val="none"/>
                <w:lang w:val="en-US" w:eastAsia="zh-CN" w:bidi="ar"/>
              </w:rPr>
              <w:t>2</w:t>
            </w:r>
          </w:p>
        </w:tc>
        <w:tc>
          <w:tcPr>
            <w:tcW w:w="12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需苗量</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株</w:t>
            </w: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2567</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1.03 </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264</w:t>
            </w:r>
            <w:r>
              <w:rPr>
                <w:rFonts w:hint="eastAsia" w:eastAsia="宋体" w:cs="Times New Roman"/>
                <w:i w:val="0"/>
                <w:color w:val="000000"/>
                <w:kern w:val="0"/>
                <w:sz w:val="21"/>
                <w:szCs w:val="21"/>
                <w:u w:val="none"/>
                <w:lang w:val="en-US" w:eastAsia="zh-CN" w:bidi="ar"/>
              </w:rPr>
              <w:t>5</w:t>
            </w:r>
          </w:p>
        </w:tc>
        <w:tc>
          <w:tcPr>
            <w:tcW w:w="12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2"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种植爬山虎</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栽植苗数</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株</w:t>
            </w: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752</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1.03 </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77</w:t>
            </w:r>
            <w:r>
              <w:rPr>
                <w:rFonts w:hint="eastAsia" w:eastAsia="宋体" w:cs="Times New Roman"/>
                <w:i w:val="0"/>
                <w:color w:val="000000"/>
                <w:kern w:val="0"/>
                <w:sz w:val="21"/>
                <w:szCs w:val="21"/>
                <w:u w:val="none"/>
                <w:lang w:val="en-US" w:eastAsia="zh-CN" w:bidi="ar"/>
              </w:rPr>
              <w:t>5</w:t>
            </w:r>
          </w:p>
        </w:tc>
        <w:tc>
          <w:tcPr>
            <w:tcW w:w="12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需苗量</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株</w:t>
            </w: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768</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1.03 </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79</w:t>
            </w:r>
            <w:r>
              <w:rPr>
                <w:rFonts w:hint="eastAsia" w:eastAsia="宋体" w:cs="Times New Roman"/>
                <w:i w:val="0"/>
                <w:color w:val="000000"/>
                <w:kern w:val="0"/>
                <w:sz w:val="21"/>
                <w:szCs w:val="21"/>
                <w:u w:val="none"/>
                <w:lang w:val="en-US" w:eastAsia="zh-CN" w:bidi="ar"/>
              </w:rPr>
              <w:t>5</w:t>
            </w:r>
          </w:p>
        </w:tc>
        <w:tc>
          <w:tcPr>
            <w:tcW w:w="12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w:t>
            </w: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紫花苜蓿</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2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撒播</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1.51</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1.03 </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1.56 </w:t>
            </w:r>
          </w:p>
        </w:tc>
        <w:tc>
          <w:tcPr>
            <w:tcW w:w="12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0" w:hRule="atLeast"/>
          <w:jc w:val="center"/>
        </w:trPr>
        <w:tc>
          <w:tcPr>
            <w:tcW w:w="90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草籽量</w:t>
            </w:r>
          </w:p>
        </w:tc>
        <w:tc>
          <w:tcPr>
            <w:tcW w:w="9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kg</w:t>
            </w:r>
          </w:p>
        </w:tc>
        <w:tc>
          <w:tcPr>
            <w:tcW w:w="12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67.95</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1.03 </w:t>
            </w: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69.99 </w:t>
            </w:r>
          </w:p>
        </w:tc>
        <w:tc>
          <w:tcPr>
            <w:tcW w:w="12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bl>
    <w:p>
      <w:pPr>
        <w:pStyle w:val="4"/>
        <w:spacing w:before="120" w:after="120" w:line="360" w:lineRule="auto"/>
        <w:ind w:firstLine="0"/>
        <w:rPr>
          <w:rFonts w:ascii="Times New Roman" w:hAnsi="Times New Roman" w:eastAsia="仿宋_GB2312" w:cs="Times New Roman"/>
          <w:b/>
          <w:bCs/>
          <w:sz w:val="32"/>
          <w:szCs w:val="32"/>
        </w:rPr>
      </w:pPr>
      <w:bookmarkStart w:id="116" w:name="_Toc25243"/>
      <w:bookmarkStart w:id="117" w:name="_Toc1285"/>
      <w:r>
        <w:rPr>
          <w:rFonts w:ascii="Times New Roman" w:hAnsi="Times New Roman" w:eastAsia="仿宋_GB2312" w:cs="Times New Roman"/>
          <w:b/>
          <w:bCs/>
          <w:sz w:val="32"/>
          <w:szCs w:val="32"/>
        </w:rPr>
        <w:t>5.4施工要求</w:t>
      </w:r>
      <w:bookmarkEnd w:id="116"/>
      <w:bookmarkEnd w:id="117"/>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5.4.1施工组织原则</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与主体工程相配合、协调，在不影响主体工程施工的前提下，尽可能利用主体工程创造的水、电、交通等施工条件，减少施工辅助设施工程量。</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5.4.2施工条件</w:t>
      </w:r>
    </w:p>
    <w:p>
      <w:pPr>
        <w:spacing w:line="360" w:lineRule="auto"/>
        <w:ind w:firstLine="480" w:firstLineChars="200"/>
        <w:jc w:val="left"/>
        <w:rPr>
          <w:rFonts w:ascii="Times New Roman" w:hAnsi="Times New Roman" w:eastAsia="仿宋_GB2312"/>
          <w:sz w:val="24"/>
          <w:szCs w:val="24"/>
        </w:rPr>
      </w:pPr>
      <w:r>
        <w:rPr>
          <w:rFonts w:hint="eastAsia" w:ascii="Times New Roman" w:hAnsi="Times New Roman" w:eastAsia="仿宋_GB2312"/>
          <w:sz w:val="24"/>
          <w:szCs w:val="24"/>
        </w:rPr>
        <w:t>项目区交通比较便利，都有道路相通。能满足水土保持工程交通要求。</w:t>
      </w:r>
      <w:r>
        <w:rPr>
          <w:rFonts w:ascii="Times New Roman" w:hAnsi="Times New Roman" w:eastAsia="仿宋_GB2312"/>
          <w:sz w:val="24"/>
          <w:szCs w:val="24"/>
        </w:rPr>
        <w:t>施工区水源充足，水质良好，能满足水土保持工程施工和生活用水的需要。</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5.4.3施工材料来源</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工程措施所需材料与主体工程来源一致；植物措施所需树、草籽在本地采购。</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5.4.4水土保持工程施工</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一、工程措施</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本方案水土保持工程措施的实施均应与主体工程建设配套进行，故其施工条件与设施原则上利用主体工程已有设施和施工条件。施工时应根据各防治区域具体的工程措施合理安排各施工工序，减少或避免各工序间的相互干扰。</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1）土石方开挖及回填施工</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项目防治区的排水沟均采用人工开挖方式，开挖的土方就近堆放，以便于回填作业，土方回填要分层夯实，以确保工程施工质量。</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2）砌石工程施工</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砌石工程为排水沟的浆砌石等。</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砌石工程所需石料全部由汽车运至现场，然后采用胶轮斗车或人工抬块石至砌筑面，由人工砌筑。砌筑前，应将石料刷洗干净，并保持湿润；砂浆骨料加工、拌和以及其它辅助材料来源同主体工程。水泥、砂料用胶轮架子车运输。砂浆由人工拌和，用人工运输至砌筑面附近地面。浆砌石采用坐浆法砌筑，砌缝间砂浆采用扁铁插捣密实，块石不得无浆直接贴靠。块石砌筑要严格按有关规范进行，石料的选择和砌筑方法都应层层把关，以保证砌筑质量。</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二、植物措施</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植物措施主要包括对</w:t>
      </w:r>
      <w:r>
        <w:rPr>
          <w:rFonts w:hint="eastAsia" w:ascii="Times New Roman" w:hAnsi="Times New Roman" w:eastAsia="仿宋_GB2312"/>
          <w:sz w:val="24"/>
          <w:szCs w:val="24"/>
          <w:lang w:eastAsia="zh-CN"/>
        </w:rPr>
        <w:t>场地内</w:t>
      </w:r>
      <w:r>
        <w:rPr>
          <w:rFonts w:ascii="Times New Roman" w:hAnsi="Times New Roman" w:eastAsia="仿宋_GB2312"/>
          <w:sz w:val="24"/>
          <w:szCs w:val="24"/>
        </w:rPr>
        <w:t>植物防护措施。植物措施要选择在多雨季节或雨季即将来临之前进行，防止恶劣天气造成不必要的损失。植物措施的实施与当地水土保持、林业部门协调合作，植物措施所需林木和草种在本地采购，同时选择有经验的专业队伍进行施工，以保证林木及草种的成活率。</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种植技术措施见种植设计图，种植以后应注重苗木成活率的检查，决定补植（成活率为41%~85%）或重新种植（成活率在40%以下）。3年后保存率在70%以上。</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5.4.5施工质量要求</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水土保持工程实施后，各项治理措施必须符合规定的质量要求，并经规定的质量测定方法确定后，才能作为治理成果进行数量统计。</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根据《水土保持综合治理—验收规范》（GB/T15773—2008）及《水利部关于加强事中事后监管规范生产建设项目水土保持设施自主验收的通知》等的相关规定：水保各项治理措施的基本要求是总体布局合理，各项措施位置符合规划要求，规格、尺寸、质量、使用材料、施工方法符合施工和设计标准，经暴雨考验后基本完好。</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施工时，不论挖方或填方，均应做到各施工层表面不积水。</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5.4.6进度安排</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1）遵循“三同时”制度，按照主体工程施工组织设计、建设工期、工艺流程，坚持积极稳妥、留有余地、尽快发挥效益的原则，以水土保持分区措施布设、施工的季节性、施工顺序、措施保证、工程质量和施工安全，分期实施，合理安排，保证水土保持工程施工的组织性、计划性、有序性以及资金、材料和机械设备等资源的有效配置，确保工程按期完成。</w:t>
      </w:r>
    </w:p>
    <w:p>
      <w:pPr>
        <w:spacing w:line="360" w:lineRule="auto"/>
        <w:ind w:firstLine="480" w:firstLineChars="200"/>
        <w:jc w:val="left"/>
        <w:rPr>
          <w:rFonts w:ascii="Times New Roman" w:hAnsi="Times New Roman" w:eastAsia="仿宋_GB2312"/>
          <w:sz w:val="24"/>
          <w:szCs w:val="24"/>
        </w:rPr>
      </w:pPr>
      <w:r>
        <w:rPr>
          <w:rFonts w:ascii="Times New Roman" w:hAnsi="Times New Roman" w:eastAsia="仿宋_GB2312"/>
          <w:sz w:val="24"/>
          <w:szCs w:val="24"/>
        </w:rPr>
        <w:t>2）先工程措施再植物措施，工程措施一般应安排在非主汛期，大的土方工程尽可能避开汛期。植物措施应以春、秋季为主。施工建设中，应按“先拦后弃”的原则，先期安排水土保持措施的实施。</w:t>
      </w:r>
    </w:p>
    <w:p>
      <w:pPr>
        <w:rPr>
          <w:rFonts w:ascii="Times New Roman" w:hAnsi="Times New Roman" w:eastAsia="仿宋_GB2312"/>
        </w:rPr>
      </w:pPr>
      <w:bookmarkStart w:id="118" w:name="_Toc1438"/>
      <w:r>
        <w:rPr>
          <w:rFonts w:ascii="Times New Roman" w:hAnsi="Times New Roman" w:eastAsia="仿宋_GB2312"/>
        </w:rPr>
        <w:br w:type="page"/>
      </w:r>
    </w:p>
    <w:p>
      <w:pPr>
        <w:pStyle w:val="3"/>
        <w:rPr>
          <w:rFonts w:ascii="Times New Roman" w:hAnsi="Times New Roman" w:eastAsia="仿宋_GB2312"/>
        </w:rPr>
      </w:pPr>
      <w:bookmarkStart w:id="119" w:name="_Toc13106"/>
      <w:r>
        <w:rPr>
          <w:rFonts w:ascii="Times New Roman" w:hAnsi="Times New Roman" w:eastAsia="仿宋_GB2312"/>
        </w:rPr>
        <w:t>6水土保持监测</w:t>
      </w:r>
      <w:bookmarkEnd w:id="119"/>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仿宋_GB2312"/>
        </w:rPr>
      </w:pPr>
      <w:r>
        <w:rPr>
          <w:rFonts w:hint="eastAsia" w:eastAsia="仿宋_GB2312"/>
          <w:lang w:eastAsia="zh-CN"/>
        </w:rPr>
        <w:t>按照</w:t>
      </w:r>
      <w:r>
        <w:rPr>
          <w:rFonts w:hint="eastAsia" w:ascii="Times New Roman" w:hAnsi="Times New Roman" w:eastAsia="仿宋_GB2312"/>
        </w:rPr>
        <w:t>《水利部关于进一步深化“放管服”改革，全面加强水土保持监管的意见》（水保〔2019〕160号）</w:t>
      </w:r>
      <w:r>
        <w:rPr>
          <w:rFonts w:hint="eastAsia" w:eastAsia="仿宋_GB2312"/>
          <w:lang w:eastAsia="zh-CN"/>
        </w:rPr>
        <w:t>文件要求执行。</w:t>
      </w:r>
      <w:r>
        <w:rPr>
          <w:rFonts w:ascii="Times New Roman" w:hAnsi="Times New Roman" w:eastAsia="仿宋_GB2312"/>
        </w:rPr>
        <w:br w:type="page"/>
      </w:r>
    </w:p>
    <w:p>
      <w:pPr>
        <w:pStyle w:val="3"/>
        <w:rPr>
          <w:rFonts w:ascii="Times New Roman" w:hAnsi="Times New Roman" w:eastAsia="仿宋_GB2312"/>
        </w:rPr>
      </w:pPr>
      <w:bookmarkStart w:id="120" w:name="_Toc20667"/>
      <w:r>
        <w:rPr>
          <w:rFonts w:ascii="Times New Roman" w:hAnsi="Times New Roman" w:eastAsia="仿宋_GB2312"/>
        </w:rPr>
        <w:t>7水土保持投资估算及效益分析</w:t>
      </w:r>
      <w:bookmarkEnd w:id="118"/>
      <w:bookmarkEnd w:id="120"/>
    </w:p>
    <w:p>
      <w:pPr>
        <w:pStyle w:val="4"/>
        <w:spacing w:before="120" w:after="120" w:line="360" w:lineRule="auto"/>
        <w:ind w:firstLine="0"/>
        <w:rPr>
          <w:rFonts w:ascii="Times New Roman" w:hAnsi="Times New Roman" w:eastAsia="仿宋_GB2312" w:cs="Times New Roman"/>
          <w:b/>
          <w:bCs/>
          <w:sz w:val="32"/>
          <w:szCs w:val="32"/>
        </w:rPr>
      </w:pPr>
      <w:bookmarkStart w:id="121" w:name="_Toc15686"/>
      <w:bookmarkStart w:id="122" w:name="_Toc25057"/>
      <w:r>
        <w:rPr>
          <w:rFonts w:ascii="Times New Roman" w:hAnsi="Times New Roman" w:eastAsia="仿宋_GB2312" w:cs="Times New Roman"/>
          <w:b/>
          <w:bCs/>
          <w:sz w:val="32"/>
          <w:szCs w:val="32"/>
        </w:rPr>
        <w:t>7.1投资估算</w:t>
      </w:r>
      <w:bookmarkEnd w:id="121"/>
      <w:bookmarkEnd w:id="122"/>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7.1.1编制原则及依据:</w:t>
      </w:r>
    </w:p>
    <w:p>
      <w:pPr>
        <w:pStyle w:val="6"/>
        <w:spacing w:before="0" w:after="0" w:line="360" w:lineRule="auto"/>
        <w:rPr>
          <w:rFonts w:ascii="Times New Roman" w:hAnsi="Times New Roman" w:eastAsia="仿宋_GB2312"/>
          <w:sz w:val="24"/>
          <w:szCs w:val="24"/>
        </w:rPr>
      </w:pPr>
      <w:r>
        <w:rPr>
          <w:rFonts w:ascii="Times New Roman" w:hAnsi="Times New Roman" w:eastAsia="仿宋_GB2312"/>
          <w:sz w:val="24"/>
          <w:szCs w:val="24"/>
        </w:rPr>
        <w:t>7.1.1.1编制原则</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（1）本方案主要工程单价及工程建设人工单价与主体工程一致，不足部分采用水土保持行业标准。</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（2）水土保持投资概算总表按工程措施、植物措施、临时措施、独立费用、预备费5部分计列。</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（3）本方案投资概算价格水平年为20</w:t>
      </w:r>
      <w:r>
        <w:rPr>
          <w:rFonts w:hint="eastAsia" w:eastAsia="仿宋_GB2312"/>
          <w:kern w:val="0"/>
          <w:sz w:val="24"/>
          <w:szCs w:val="24"/>
          <w:lang w:val="en-US" w:eastAsia="zh-CN"/>
        </w:rPr>
        <w:t>20</w:t>
      </w:r>
      <w:r>
        <w:rPr>
          <w:rFonts w:ascii="Times New Roman" w:hAnsi="Times New Roman" w:eastAsia="仿宋_GB2312"/>
          <w:kern w:val="0"/>
          <w:sz w:val="24"/>
          <w:szCs w:val="24"/>
        </w:rPr>
        <w:t>年，林草价格依据当地市场价格水平确定。</w:t>
      </w:r>
    </w:p>
    <w:p>
      <w:pPr>
        <w:pStyle w:val="6"/>
        <w:spacing w:before="0" w:after="0" w:line="360" w:lineRule="auto"/>
        <w:rPr>
          <w:rFonts w:ascii="Times New Roman" w:hAnsi="Times New Roman" w:eastAsia="仿宋_GB2312"/>
          <w:sz w:val="24"/>
          <w:szCs w:val="24"/>
        </w:rPr>
      </w:pPr>
      <w:r>
        <w:rPr>
          <w:rFonts w:ascii="Times New Roman" w:hAnsi="Times New Roman" w:eastAsia="仿宋_GB2312"/>
          <w:sz w:val="24"/>
          <w:szCs w:val="24"/>
        </w:rPr>
        <w:t>7.1.1.2编制依据</w:t>
      </w:r>
    </w:p>
    <w:p>
      <w:pPr>
        <w:widowControl/>
        <w:spacing w:line="360" w:lineRule="auto"/>
        <w:ind w:firstLine="480" w:firstLineChars="200"/>
        <w:jc w:val="left"/>
        <w:rPr>
          <w:rFonts w:ascii="Times New Roman" w:hAnsi="Times New Roman" w:eastAsia="仿宋_GB2312"/>
          <w:bCs/>
          <w:kern w:val="0"/>
          <w:sz w:val="24"/>
          <w:szCs w:val="24"/>
        </w:rPr>
      </w:pPr>
      <w:r>
        <w:rPr>
          <w:rFonts w:ascii="Times New Roman" w:hAnsi="Times New Roman" w:eastAsia="仿宋_GB2312"/>
          <w:bCs/>
          <w:kern w:val="0"/>
          <w:sz w:val="24"/>
          <w:szCs w:val="24"/>
        </w:rPr>
        <w:t>（1）2003年1月25日，中华人民共和国水利部《关于颁发〈水土保持工程概（估）算编制规定和定额〉的通知》（水总[2003]67号）；</w:t>
      </w:r>
    </w:p>
    <w:p>
      <w:pPr>
        <w:widowControl/>
        <w:spacing w:line="360" w:lineRule="auto"/>
        <w:ind w:firstLine="480" w:firstLineChars="200"/>
        <w:jc w:val="left"/>
        <w:rPr>
          <w:rFonts w:ascii="Times New Roman" w:hAnsi="Times New Roman" w:eastAsia="仿宋_GB2312"/>
          <w:bCs/>
          <w:kern w:val="0"/>
          <w:sz w:val="24"/>
          <w:szCs w:val="24"/>
        </w:rPr>
      </w:pPr>
      <w:r>
        <w:rPr>
          <w:rFonts w:ascii="Times New Roman" w:hAnsi="Times New Roman" w:eastAsia="仿宋_GB2312"/>
          <w:bCs/>
          <w:kern w:val="0"/>
          <w:sz w:val="24"/>
          <w:szCs w:val="24"/>
        </w:rPr>
        <w:t>（2）2016年4月25日，山西省发展和改革委员会、山西省财政厅、山西省水利厅文件《山西省发展和改革委员会、山西省财政厅、山西省水利厅文件关于水土保持补偿费收费标准的通知》（晋发改价格发[2018]464号）；</w:t>
      </w:r>
    </w:p>
    <w:p>
      <w:pPr>
        <w:widowControl/>
        <w:spacing w:line="360" w:lineRule="auto"/>
        <w:ind w:firstLine="480" w:firstLineChars="200"/>
        <w:jc w:val="left"/>
        <w:rPr>
          <w:rFonts w:ascii="Times New Roman" w:hAnsi="Times New Roman" w:eastAsia="仿宋_GB2312"/>
          <w:bCs/>
          <w:kern w:val="0"/>
          <w:sz w:val="24"/>
          <w:szCs w:val="24"/>
        </w:rPr>
      </w:pPr>
      <w:r>
        <w:rPr>
          <w:rFonts w:ascii="Times New Roman" w:hAnsi="Times New Roman" w:eastAsia="仿宋_GB2312"/>
          <w:bCs/>
          <w:kern w:val="0"/>
          <w:sz w:val="24"/>
          <w:szCs w:val="24"/>
        </w:rPr>
        <w:t>（3）水利部办公厅《水利部办公厅关于调整水利工程计价依据增值税计算标准的通知》（办财务函〔2019〕448号）；</w:t>
      </w:r>
    </w:p>
    <w:p>
      <w:pPr>
        <w:widowControl/>
        <w:spacing w:line="360" w:lineRule="auto"/>
        <w:ind w:firstLine="480" w:firstLineChars="200"/>
        <w:jc w:val="left"/>
        <w:rPr>
          <w:rFonts w:ascii="Times New Roman" w:hAnsi="Times New Roman" w:eastAsia="仿宋_GB2312"/>
          <w:bCs/>
          <w:kern w:val="0"/>
          <w:sz w:val="24"/>
          <w:szCs w:val="24"/>
        </w:rPr>
      </w:pPr>
      <w:r>
        <w:rPr>
          <w:rFonts w:ascii="Times New Roman" w:hAnsi="Times New Roman" w:eastAsia="仿宋_GB2312"/>
          <w:bCs/>
          <w:kern w:val="0"/>
          <w:sz w:val="24"/>
          <w:szCs w:val="24"/>
        </w:rPr>
        <w:t>（4）当地苗木、草、种子价格；</w:t>
      </w:r>
    </w:p>
    <w:p>
      <w:pPr>
        <w:widowControl/>
        <w:spacing w:line="360" w:lineRule="auto"/>
        <w:ind w:firstLine="480" w:firstLineChars="200"/>
        <w:jc w:val="left"/>
        <w:rPr>
          <w:rFonts w:ascii="Times New Roman" w:hAnsi="Times New Roman" w:eastAsia="仿宋_GB2312"/>
          <w:bCs/>
          <w:kern w:val="0"/>
          <w:sz w:val="24"/>
          <w:szCs w:val="24"/>
        </w:rPr>
      </w:pPr>
      <w:r>
        <w:rPr>
          <w:rFonts w:ascii="Times New Roman" w:hAnsi="Times New Roman" w:eastAsia="仿宋_GB2312"/>
          <w:bCs/>
          <w:kern w:val="0"/>
          <w:sz w:val="24"/>
          <w:szCs w:val="24"/>
        </w:rPr>
        <w:t>（5）主体工程设计文件的概算资料；</w:t>
      </w:r>
    </w:p>
    <w:p>
      <w:pPr>
        <w:widowControl/>
        <w:spacing w:line="360" w:lineRule="auto"/>
        <w:ind w:firstLine="480" w:firstLineChars="200"/>
        <w:jc w:val="left"/>
        <w:rPr>
          <w:rFonts w:ascii="Times New Roman" w:hAnsi="Times New Roman" w:eastAsia="仿宋_GB2312"/>
          <w:bCs/>
          <w:kern w:val="0"/>
          <w:sz w:val="24"/>
          <w:szCs w:val="24"/>
        </w:rPr>
      </w:pPr>
      <w:r>
        <w:rPr>
          <w:rFonts w:ascii="Times New Roman" w:hAnsi="Times New Roman" w:eastAsia="仿宋_GB2312"/>
          <w:bCs/>
          <w:kern w:val="0"/>
          <w:sz w:val="24"/>
          <w:szCs w:val="24"/>
        </w:rPr>
        <w:t>（6）水土保持工程设计文件及图纸。</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7.1.2编制说明与估算成果</w:t>
      </w:r>
    </w:p>
    <w:p>
      <w:pPr>
        <w:pStyle w:val="6"/>
        <w:spacing w:before="0" w:after="0" w:line="360" w:lineRule="auto"/>
        <w:rPr>
          <w:rFonts w:ascii="Times New Roman" w:hAnsi="Times New Roman" w:eastAsia="仿宋_GB2312"/>
          <w:sz w:val="24"/>
          <w:szCs w:val="24"/>
        </w:rPr>
      </w:pPr>
      <w:r>
        <w:rPr>
          <w:rFonts w:hint="eastAsia" w:ascii="Times New Roman" w:hAnsi="Times New Roman" w:eastAsia="仿宋_GB2312"/>
          <w:sz w:val="24"/>
          <w:szCs w:val="24"/>
          <w:lang w:val="en-US" w:eastAsia="zh-CN"/>
        </w:rPr>
        <w:t>7</w:t>
      </w:r>
      <w:r>
        <w:rPr>
          <w:rFonts w:ascii="Times New Roman" w:hAnsi="Times New Roman" w:eastAsia="仿宋_GB2312"/>
          <w:sz w:val="24"/>
          <w:szCs w:val="24"/>
        </w:rPr>
        <w:t>.1.</w:t>
      </w:r>
      <w:r>
        <w:rPr>
          <w:rFonts w:hint="eastAsia" w:ascii="Times New Roman" w:hAnsi="Times New Roman" w:eastAsia="仿宋_GB2312"/>
          <w:sz w:val="24"/>
          <w:szCs w:val="24"/>
          <w:lang w:val="en-US" w:eastAsia="zh-CN"/>
        </w:rPr>
        <w:t>2</w:t>
      </w:r>
      <w:r>
        <w:rPr>
          <w:rFonts w:ascii="Times New Roman" w:hAnsi="Times New Roman" w:eastAsia="仿宋_GB2312"/>
          <w:sz w:val="24"/>
          <w:szCs w:val="24"/>
        </w:rPr>
        <w:t>.1编制方法</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（1）基础单价</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1）人工预算单价</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采用主体工程单价，工程措施和植物措施的人工单价均为</w:t>
      </w:r>
      <w:r>
        <w:rPr>
          <w:rFonts w:hint="eastAsia" w:ascii="Times New Roman" w:hAnsi="Times New Roman" w:eastAsia="仿宋_GB2312"/>
          <w:kern w:val="0"/>
          <w:sz w:val="24"/>
          <w:szCs w:val="24"/>
          <w:lang w:val="en-US" w:eastAsia="zh-CN"/>
        </w:rPr>
        <w:t>7.86</w:t>
      </w:r>
      <w:r>
        <w:rPr>
          <w:rFonts w:ascii="Times New Roman" w:hAnsi="Times New Roman" w:eastAsia="仿宋_GB2312"/>
          <w:kern w:val="0"/>
          <w:sz w:val="24"/>
          <w:szCs w:val="24"/>
        </w:rPr>
        <w:t>元/工时。</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2）材料预算价格</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主要材料预算价格采用主体工程预算价格，不足部分按照材料原价加运杂费和采购及保管费计算，其中采购及保管费按材料运到工地价格的2%计算；苗木、草、种子的预算价格以当地市场价格加运杂费和采购及保管费计算，其中采购及保管费按运到工地价的1%计算；其他材料预算价格执行工程所在地就近城市建设工程造价管理部门颁发的工业民用建筑安装工程材料预算价格。</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3)水电预算单价</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按当地生产企业生产用电价格计算，初步确定用电</w:t>
      </w:r>
      <w:r>
        <w:rPr>
          <w:rFonts w:hint="eastAsia" w:ascii="Times New Roman" w:hAnsi="Times New Roman" w:eastAsia="仿宋_GB2312"/>
          <w:kern w:val="0"/>
          <w:sz w:val="24"/>
          <w:szCs w:val="24"/>
          <w:lang w:val="en-US" w:eastAsia="zh-CN"/>
        </w:rPr>
        <w:t>0.86</w:t>
      </w:r>
      <w:r>
        <w:rPr>
          <w:rFonts w:ascii="Times New Roman" w:hAnsi="Times New Roman" w:eastAsia="仿宋_GB2312"/>
          <w:kern w:val="0"/>
          <w:sz w:val="24"/>
          <w:szCs w:val="24"/>
        </w:rPr>
        <w:t>元/kw.h；用水</w:t>
      </w:r>
      <w:r>
        <w:rPr>
          <w:rFonts w:hint="eastAsia" w:ascii="Times New Roman" w:hAnsi="Times New Roman" w:eastAsia="仿宋_GB2312"/>
          <w:kern w:val="0"/>
          <w:sz w:val="24"/>
          <w:szCs w:val="24"/>
          <w:lang w:val="en-US" w:eastAsia="zh-CN"/>
        </w:rPr>
        <w:t>4.55</w:t>
      </w:r>
      <w:r>
        <w:rPr>
          <w:rFonts w:ascii="Times New Roman" w:hAnsi="Times New Roman" w:eastAsia="仿宋_GB2312"/>
          <w:kern w:val="0"/>
          <w:sz w:val="24"/>
          <w:szCs w:val="24"/>
        </w:rPr>
        <w:t>元/m</w:t>
      </w:r>
      <w:r>
        <w:rPr>
          <w:rFonts w:ascii="Times New Roman" w:hAnsi="Times New Roman" w:eastAsia="仿宋_GB2312"/>
          <w:kern w:val="0"/>
          <w:sz w:val="24"/>
          <w:szCs w:val="24"/>
          <w:vertAlign w:val="superscript"/>
        </w:rPr>
        <w:t>3</w:t>
      </w:r>
      <w:r>
        <w:rPr>
          <w:rFonts w:ascii="Times New Roman" w:hAnsi="Times New Roman" w:eastAsia="仿宋_GB2312"/>
          <w:kern w:val="0"/>
          <w:sz w:val="24"/>
          <w:szCs w:val="24"/>
        </w:rPr>
        <w:t>。</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4）施工机械使用费：采用主体工程的施工机械台时费，不足部分采用《水土保持工程概算定额》附录中的施工机械台时费定额计算。</w:t>
      </w:r>
    </w:p>
    <w:p>
      <w:pPr>
        <w:widowControl/>
        <w:spacing w:line="360" w:lineRule="auto"/>
        <w:ind w:firstLine="480" w:firstLineChars="200"/>
        <w:jc w:val="left"/>
        <w:rPr>
          <w:rFonts w:ascii="Times New Roman" w:hAnsi="Times New Roman" w:eastAsia="仿宋_GB2312"/>
          <w:b/>
          <w:bCs/>
          <w:kern w:val="0"/>
          <w:sz w:val="24"/>
          <w:szCs w:val="24"/>
        </w:rPr>
      </w:pPr>
      <w:r>
        <w:rPr>
          <w:rFonts w:ascii="Times New Roman" w:hAnsi="Times New Roman" w:eastAsia="仿宋_GB2312"/>
          <w:kern w:val="0"/>
          <w:sz w:val="24"/>
          <w:szCs w:val="24"/>
        </w:rPr>
        <w:t>5）砂石料单价：采用主体工程砂石料单价，不足部分采用材料预算价格。</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6）砂浆材料单价：采用主体工程单价。</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（2）措施单价</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工程单价包括工程措施、植物措施和临时措施三部分。</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1）直接工程费=直接费+其它直接费+现场经费</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宋体"/>
          <w:kern w:val="0"/>
          <w:sz w:val="24"/>
          <w:szCs w:val="24"/>
        </w:rPr>
        <w:t>①</w:t>
      </w:r>
      <w:r>
        <w:rPr>
          <w:rFonts w:ascii="Times New Roman" w:hAnsi="Times New Roman" w:eastAsia="仿宋_GB2312"/>
          <w:kern w:val="0"/>
          <w:sz w:val="24"/>
          <w:szCs w:val="24"/>
        </w:rPr>
        <w:t>直接费=人工费+材料费+机械使用费</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人工费=定额劳动量（工时）×人工预算单价(元/工时)</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材料费=定额材料用量(不含苗木、草及种子费）×材料预算单价</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机械使用费=定额机械使用量（台时）×施工机械台时费</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宋体"/>
          <w:kern w:val="0"/>
          <w:sz w:val="24"/>
          <w:szCs w:val="24"/>
        </w:rPr>
        <w:t>②</w:t>
      </w:r>
      <w:r>
        <w:rPr>
          <w:rFonts w:ascii="Times New Roman" w:hAnsi="Times New Roman" w:eastAsia="仿宋_GB2312"/>
          <w:kern w:val="0"/>
          <w:sz w:val="24"/>
          <w:szCs w:val="24"/>
        </w:rPr>
        <w:t>其它直接费=直接费×其它直接费率</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其它直接费率取2.5%(1.3%)，土地整治费率取1.3%。</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宋体"/>
          <w:kern w:val="0"/>
          <w:sz w:val="24"/>
          <w:szCs w:val="24"/>
        </w:rPr>
        <w:t>③</w:t>
      </w:r>
      <w:r>
        <w:rPr>
          <w:rFonts w:ascii="Times New Roman" w:hAnsi="Times New Roman" w:eastAsia="仿宋_GB2312"/>
          <w:kern w:val="0"/>
          <w:sz w:val="24"/>
          <w:szCs w:val="24"/>
        </w:rPr>
        <w:t>现场经费=直接费×现场经费费率</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现场经费费率取5%(4%)，土地整治费率取3%。</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2）间接费=直接工程费×间接费率</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间接费率取4.4%（3.3%)，土石方工程费率取5.5%。</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3）企业利润=（直接工程费＋间接费）×企业利润率</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工程措施按直接工程费和间接费之和的7%计算。</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植物措施按直接工程费和间接费之和的5%计算。</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4）税金=(直接工程费＋间接费＋企业利润)×税率</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工程措施和植物措施的税率均取9%。</w:t>
      </w:r>
    </w:p>
    <w:p>
      <w:pPr>
        <w:pStyle w:val="6"/>
        <w:spacing w:before="0" w:after="0" w:line="360" w:lineRule="auto"/>
        <w:rPr>
          <w:rFonts w:ascii="Times New Roman" w:hAnsi="Times New Roman" w:eastAsia="仿宋_GB2312"/>
          <w:sz w:val="24"/>
          <w:szCs w:val="24"/>
        </w:rPr>
      </w:pPr>
      <w:r>
        <w:rPr>
          <w:rFonts w:hint="eastAsia" w:ascii="Times New Roman" w:hAnsi="Times New Roman" w:eastAsia="仿宋_GB2312"/>
          <w:sz w:val="24"/>
          <w:szCs w:val="24"/>
          <w:lang w:val="en-US" w:eastAsia="zh-CN"/>
        </w:rPr>
        <w:t>7</w:t>
      </w:r>
      <w:r>
        <w:rPr>
          <w:rFonts w:ascii="Times New Roman" w:hAnsi="Times New Roman" w:eastAsia="仿宋_GB2312"/>
          <w:sz w:val="24"/>
          <w:szCs w:val="24"/>
        </w:rPr>
        <w:t>.1.</w:t>
      </w:r>
      <w:r>
        <w:rPr>
          <w:rFonts w:hint="eastAsia" w:ascii="Times New Roman" w:hAnsi="Times New Roman" w:eastAsia="仿宋_GB2312"/>
          <w:sz w:val="24"/>
          <w:szCs w:val="24"/>
          <w:lang w:val="en-US" w:eastAsia="zh-CN"/>
        </w:rPr>
        <w:t>2</w:t>
      </w:r>
      <w:r>
        <w:rPr>
          <w:rFonts w:ascii="Times New Roman" w:hAnsi="Times New Roman" w:eastAsia="仿宋_GB2312"/>
          <w:sz w:val="24"/>
          <w:szCs w:val="24"/>
        </w:rPr>
        <w:t>.2费用构成</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本方案费用构成如下：工程措施费、植物措施费、临时工程费、独立费用和基本预备费。另外，还有属于行政性收费项目的水土保持补偿费。</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（1）工程措施费</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工程措施费按设计工程量乘以工程单价进行编制。</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（2）植物措施费</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植物措施费由整地费和苗木、草、种子等材料费及种植费组成。</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1）植物措施材料费由苗木、草、种子的预算价格乘数量进行编制。</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2）整地、栽（种）植费按《水土保持工程概算定额》进行编制。</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（3）临时工程费</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1）临时防护工程</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按设计方案的工程量乘以单价编制。</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2）其它临时工程</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按第一部分工程措施和第二部分植物措施投资的2%编制。</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（4）独立费用</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1）建设管理费：按第一至三部分之和的2%计算，应满足水土保持专项验收和评估的需要，不足部分从预备费中支出。</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2）勘察设计费：按照《工程勘察设计收费管理规定》（国家计委、建设部 计价格[2002]10号）计算。</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3）工程建设监理费：参考国家发改委、建设部发改价格[2007]670号，结合工程实际，监理费取</w:t>
      </w:r>
      <w:r>
        <w:rPr>
          <w:rFonts w:hint="eastAsia" w:eastAsia="仿宋_GB2312"/>
          <w:kern w:val="0"/>
          <w:sz w:val="24"/>
          <w:szCs w:val="24"/>
          <w:lang w:val="en-US" w:eastAsia="zh-CN"/>
        </w:rPr>
        <w:t>4</w:t>
      </w:r>
      <w:r>
        <w:rPr>
          <w:rFonts w:ascii="Times New Roman" w:hAnsi="Times New Roman" w:eastAsia="仿宋_GB2312"/>
          <w:kern w:val="0"/>
          <w:sz w:val="24"/>
          <w:szCs w:val="24"/>
        </w:rPr>
        <w:t>万元。</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4）水土保持监测费：根据水土保持工程量、监测点位布设、建设工期、市场等因素，按照所需人工费、材料费、损耗费等估算，监测费取</w:t>
      </w:r>
      <w:r>
        <w:rPr>
          <w:rFonts w:hint="eastAsia" w:eastAsia="仿宋_GB2312"/>
          <w:kern w:val="0"/>
          <w:sz w:val="24"/>
          <w:szCs w:val="24"/>
          <w:lang w:val="en-US" w:eastAsia="zh-CN"/>
        </w:rPr>
        <w:t>5</w:t>
      </w:r>
      <w:r>
        <w:rPr>
          <w:rFonts w:ascii="Times New Roman" w:hAnsi="Times New Roman" w:eastAsia="仿宋_GB2312"/>
          <w:kern w:val="0"/>
          <w:sz w:val="24"/>
          <w:szCs w:val="24"/>
        </w:rPr>
        <w:t>万元。</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5）水土保持设施验报告编制费：参照市场行情，水土保持设施验报告编制费考虑为</w:t>
      </w:r>
      <w:r>
        <w:rPr>
          <w:rFonts w:hint="eastAsia" w:eastAsia="仿宋_GB2312"/>
          <w:kern w:val="0"/>
          <w:sz w:val="24"/>
          <w:szCs w:val="24"/>
          <w:lang w:val="en-US" w:eastAsia="zh-CN"/>
        </w:rPr>
        <w:t>9</w:t>
      </w:r>
      <w:r>
        <w:rPr>
          <w:rFonts w:ascii="Times New Roman" w:hAnsi="Times New Roman" w:eastAsia="仿宋_GB2312"/>
          <w:kern w:val="0"/>
          <w:sz w:val="24"/>
          <w:szCs w:val="24"/>
        </w:rPr>
        <w:t>万元。</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（5）基本预备费</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基本预备费按工程措施、植物措施、施工临时工程、独立费用之和的3%计算。价差预备费按晋计设字（1999）608号“关于转发《国家计委关于加强对基本建设大中型项目估算中“价差预备费”管理有关问题的通知》的通知”投资价格指数一律按零计算。</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（6）水土保持补偿费</w:t>
      </w:r>
    </w:p>
    <w:p>
      <w:pPr>
        <w:widowControl/>
        <w:spacing w:line="360" w:lineRule="auto"/>
        <w:ind w:firstLine="480" w:firstLineChars="200"/>
        <w:jc w:val="left"/>
        <w:rPr>
          <w:rFonts w:ascii="Times New Roman" w:hAnsi="Times New Roman" w:eastAsia="仿宋_GB2312"/>
          <w:kern w:val="0"/>
          <w:sz w:val="24"/>
          <w:szCs w:val="24"/>
        </w:rPr>
      </w:pPr>
      <w:r>
        <w:rPr>
          <w:rFonts w:hint="eastAsia" w:ascii="Times New Roman" w:hAnsi="Times New Roman" w:eastAsia="仿宋_GB2312"/>
          <w:kern w:val="0"/>
          <w:sz w:val="24"/>
          <w:szCs w:val="24"/>
        </w:rPr>
        <w:t>根据山西省发展和改革委员会、山西省财政厅、山西省水利厅文件《关于水土保持补偿费收费标准的通知》（晋发改价格发[2018]464号）规定，本项目按照征占用土地面积一次性计征，每平方米0.4元（不足1平方米的按1平方米计）。该项目占地面积3.51hm2，水土保持补偿费1.41万元，对石油、天然气以外的矿产资源，按照开采量（采掘、采剥总量）计征，每吨0.2元。</w:t>
      </w:r>
    </w:p>
    <w:p>
      <w:pPr>
        <w:pStyle w:val="6"/>
        <w:spacing w:before="60" w:after="60" w:line="360" w:lineRule="auto"/>
        <w:rPr>
          <w:rFonts w:ascii="Times New Roman" w:hAnsi="Times New Roman" w:eastAsia="仿宋_GB2312"/>
          <w:bCs w:val="0"/>
          <w:sz w:val="24"/>
        </w:rPr>
      </w:pPr>
      <w:r>
        <w:rPr>
          <w:rFonts w:ascii="Times New Roman" w:hAnsi="Times New Roman" w:eastAsia="仿宋_GB2312"/>
          <w:bCs w:val="0"/>
          <w:sz w:val="24"/>
        </w:rPr>
        <w:t>7.1.2.3概算成果</w:t>
      </w:r>
    </w:p>
    <w:p>
      <w:pPr>
        <w:widowControl/>
        <w:spacing w:line="360" w:lineRule="auto"/>
        <w:ind w:firstLine="480" w:firstLineChars="200"/>
        <w:jc w:val="left"/>
        <w:rPr>
          <w:rFonts w:ascii="Times New Roman" w:hAnsi="Times New Roman" w:eastAsia="仿宋_GB2312"/>
          <w:szCs w:val="21"/>
        </w:rPr>
      </w:pPr>
      <w:r>
        <w:rPr>
          <w:rFonts w:hint="eastAsia" w:ascii="Times New Roman" w:hAnsi="Times New Roman" w:eastAsia="仿宋_GB2312"/>
          <w:szCs w:val="21"/>
        </w:rPr>
        <w:t>项目水土保持总投资171.68万元（全部为方案新增）。总投资中工程措施费13</w:t>
      </w:r>
      <w:r>
        <w:rPr>
          <w:rFonts w:hint="eastAsia" w:eastAsia="仿宋_GB2312"/>
          <w:szCs w:val="21"/>
          <w:lang w:val="en-US" w:eastAsia="zh-CN"/>
        </w:rPr>
        <w:t>7</w:t>
      </w:r>
      <w:r>
        <w:rPr>
          <w:rFonts w:hint="eastAsia" w:ascii="Times New Roman" w:hAnsi="Times New Roman" w:eastAsia="仿宋_GB2312"/>
          <w:szCs w:val="21"/>
        </w:rPr>
        <w:t>万元、植物措施费2.66万元、独立费用 25.65万元（其中监测费5.00 万元，监理费 4.00 万元）、基本预备费4.9</w:t>
      </w:r>
      <w:r>
        <w:rPr>
          <w:rFonts w:hint="eastAsia" w:eastAsia="仿宋_GB2312"/>
          <w:szCs w:val="21"/>
          <w:lang w:val="en-US" w:eastAsia="zh-CN"/>
        </w:rPr>
        <w:t>6</w:t>
      </w:r>
      <w:r>
        <w:rPr>
          <w:rFonts w:hint="eastAsia" w:ascii="Times New Roman" w:hAnsi="Times New Roman" w:eastAsia="仿宋_GB2312"/>
          <w:szCs w:val="21"/>
        </w:rPr>
        <w:t>万元、水土保持补偿费1.41万元。水土保持工程投资概算详见表</w:t>
      </w:r>
      <w:r>
        <w:rPr>
          <w:rFonts w:hint="eastAsia" w:eastAsia="仿宋_GB2312"/>
          <w:szCs w:val="21"/>
          <w:lang w:val="en-US" w:eastAsia="zh-CN"/>
        </w:rPr>
        <w:t>7</w:t>
      </w:r>
      <w:r>
        <w:rPr>
          <w:rFonts w:hint="eastAsia" w:ascii="Times New Roman" w:hAnsi="Times New Roman" w:eastAsia="仿宋_GB2312"/>
          <w:szCs w:val="21"/>
        </w:rPr>
        <w:t>-1至</w:t>
      </w:r>
      <w:r>
        <w:rPr>
          <w:rFonts w:hint="eastAsia" w:eastAsia="仿宋_GB2312"/>
          <w:szCs w:val="21"/>
          <w:lang w:val="en-US" w:eastAsia="zh-CN"/>
        </w:rPr>
        <w:t>7</w:t>
      </w:r>
      <w:r>
        <w:rPr>
          <w:rFonts w:hint="eastAsia" w:ascii="Times New Roman" w:hAnsi="Times New Roman" w:eastAsia="仿宋_GB2312"/>
          <w:szCs w:val="21"/>
        </w:rPr>
        <w:t>-4。</w:t>
      </w:r>
    </w:p>
    <w:p>
      <w:pPr>
        <w:rPr>
          <w:rFonts w:ascii="Times New Roman" w:hAnsi="Times New Roman" w:eastAsia="仿宋_GB2312"/>
          <w:b/>
          <w:sz w:val="24"/>
        </w:rPr>
      </w:pPr>
      <w:r>
        <w:rPr>
          <w:rFonts w:ascii="Times New Roman" w:hAnsi="Times New Roman" w:eastAsia="仿宋_GB2312"/>
          <w:b/>
          <w:sz w:val="24"/>
        </w:rPr>
        <w:br w:type="page"/>
      </w:r>
    </w:p>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7</w:t>
      </w:r>
      <w:r>
        <w:rPr>
          <w:rFonts w:ascii="Times New Roman" w:hAnsi="Times New Roman" w:eastAsia="仿宋_GB2312"/>
          <w:b/>
          <w:sz w:val="24"/>
        </w:rPr>
        <w:t>-1  水土保持工程投资概算总表          单位：万元</w:t>
      </w:r>
    </w:p>
    <w:tbl>
      <w:tblPr>
        <w:tblStyle w:val="24"/>
        <w:tblW w:w="92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51"/>
        <w:gridCol w:w="1867"/>
        <w:gridCol w:w="728"/>
        <w:gridCol w:w="1037"/>
        <w:gridCol w:w="1080"/>
        <w:gridCol w:w="964"/>
        <w:gridCol w:w="964"/>
        <w:gridCol w:w="964"/>
        <w:gridCol w:w="9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6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2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建、安工程费</w:t>
            </w: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植物措施费</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独立费用</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合计</w:t>
            </w:r>
            <w:r>
              <w:rPr>
                <w:rFonts w:hint="eastAsia" w:ascii="仿宋_GB2312" w:hAnsi="宋体" w:eastAsia="仿宋_GB2312" w:cs="仿宋_GB2312"/>
                <w:i w:val="0"/>
                <w:color w:val="000000"/>
                <w:kern w:val="0"/>
                <w:sz w:val="21"/>
                <w:szCs w:val="21"/>
                <w:u w:val="none"/>
                <w:lang w:val="en-US" w:eastAsia="zh-CN" w:bidi="ar"/>
              </w:rPr>
              <w:t>（万元）</w:t>
            </w:r>
          </w:p>
        </w:tc>
        <w:tc>
          <w:tcPr>
            <w:tcW w:w="192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 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jc w:val="center"/>
        </w:trPr>
        <w:tc>
          <w:tcPr>
            <w:tcW w:w="6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3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栽</w:t>
            </w:r>
            <w:r>
              <w:rPr>
                <w:rStyle w:val="205"/>
                <w:rFonts w:hAnsi="宋体"/>
                <w:lang w:val="en-US" w:eastAsia="zh-CN" w:bidi="ar"/>
              </w:rPr>
              <w:t>（种） 植费</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苗木、草种子费</w:t>
            </w: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9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jc w:val="center"/>
        </w:trPr>
        <w:tc>
          <w:tcPr>
            <w:tcW w:w="65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2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3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9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 工程措施</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eastAsia="zh-CN"/>
              </w:rPr>
            </w:pPr>
            <w:r>
              <w:rPr>
                <w:rFonts w:hint="eastAsia" w:eastAsia="宋体" w:cs="Times New Roman"/>
                <w:b/>
                <w:i w:val="0"/>
                <w:color w:val="000000"/>
                <w:sz w:val="21"/>
                <w:szCs w:val="21"/>
                <w:u w:val="none"/>
                <w:lang w:val="en-US" w:eastAsia="zh-CN"/>
              </w:rPr>
              <w:t>137</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sz w:val="21"/>
                <w:szCs w:val="21"/>
                <w:u w:val="none"/>
                <w:lang w:val="en-US" w:eastAsia="zh-CN"/>
              </w:rPr>
              <w:t>137</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sz w:val="21"/>
                <w:szCs w:val="21"/>
                <w:u w:val="none"/>
                <w:lang w:val="en-US" w:eastAsia="zh-CN"/>
              </w:rPr>
              <w:t>137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sz w:val="21"/>
                <w:szCs w:val="21"/>
                <w:u w:val="none"/>
              </w:rPr>
            </w:pPr>
            <w:r>
              <w:rPr>
                <w:rFonts w:hint="default" w:ascii="仿宋_GB2312" w:hAnsi="宋体" w:eastAsia="仿宋_GB2312" w:cs="仿宋_GB2312"/>
                <w:b w:val="0"/>
                <w:bCs/>
                <w:i w:val="0"/>
                <w:color w:val="000000"/>
                <w:kern w:val="0"/>
                <w:sz w:val="21"/>
                <w:szCs w:val="21"/>
                <w:u w:val="none"/>
                <w:lang w:val="en-US" w:eastAsia="zh-CN" w:bidi="ar"/>
              </w:rPr>
              <w:t>采场防治区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80.73</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80.73</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80.73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2</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sz w:val="21"/>
                <w:szCs w:val="21"/>
                <w:u w:val="none"/>
              </w:rPr>
            </w:pPr>
            <w:r>
              <w:rPr>
                <w:rFonts w:hint="eastAsia" w:ascii="仿宋_GB2312" w:hAnsi="宋体" w:eastAsia="仿宋_GB2312" w:cs="仿宋_GB2312"/>
                <w:b w:val="0"/>
                <w:bCs/>
                <w:i w:val="0"/>
                <w:color w:val="000000"/>
                <w:kern w:val="0"/>
                <w:sz w:val="21"/>
                <w:szCs w:val="21"/>
                <w:u w:val="none"/>
                <w:lang w:val="en-US" w:eastAsia="zh-CN" w:bidi="ar"/>
              </w:rPr>
              <w:t>加工场地</w:t>
            </w:r>
            <w:r>
              <w:rPr>
                <w:rFonts w:hint="default" w:ascii="仿宋_GB2312" w:hAnsi="宋体" w:eastAsia="仿宋_GB2312" w:cs="仿宋_GB2312"/>
                <w:b w:val="0"/>
                <w:bCs/>
                <w:i w:val="0"/>
                <w:color w:val="000000"/>
                <w:kern w:val="0"/>
                <w:sz w:val="21"/>
                <w:szCs w:val="21"/>
                <w:u w:val="none"/>
                <w:lang w:val="en-US" w:eastAsia="zh-CN" w:bidi="ar"/>
              </w:rPr>
              <w:t>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7.39</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7.39</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7.39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3</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sz w:val="21"/>
                <w:szCs w:val="21"/>
                <w:u w:val="none"/>
              </w:rPr>
            </w:pPr>
            <w:r>
              <w:rPr>
                <w:rFonts w:hint="default" w:ascii="仿宋_GB2312" w:hAnsi="宋体" w:eastAsia="仿宋_GB2312" w:cs="仿宋_GB2312"/>
                <w:b w:val="0"/>
                <w:bCs/>
                <w:i w:val="0"/>
                <w:color w:val="000000"/>
                <w:kern w:val="0"/>
                <w:sz w:val="21"/>
                <w:szCs w:val="21"/>
                <w:u w:val="none"/>
                <w:lang w:val="en-US" w:eastAsia="zh-CN" w:bidi="ar"/>
              </w:rPr>
              <w:t>场地道路防治区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48.88</w:t>
            </w:r>
            <w:r>
              <w:rPr>
                <w:rFonts w:hint="default" w:ascii="Times New Roman" w:hAnsi="Times New Roman" w:eastAsia="宋体" w:cs="Times New Roman"/>
                <w:i w:val="0"/>
                <w:color w:val="000000"/>
                <w:kern w:val="0"/>
                <w:sz w:val="21"/>
                <w:szCs w:val="21"/>
                <w:u w:val="none"/>
                <w:lang w:val="en-US" w:eastAsia="zh-CN" w:bidi="ar"/>
              </w:rPr>
              <w:t xml:space="preserve"> </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48.88</w:t>
            </w:r>
            <w:r>
              <w:rPr>
                <w:rFonts w:hint="default" w:ascii="Times New Roman" w:hAnsi="Times New Roman" w:eastAsia="宋体" w:cs="Times New Roman"/>
                <w:i w:val="0"/>
                <w:color w:val="000000"/>
                <w:kern w:val="0"/>
                <w:sz w:val="21"/>
                <w:szCs w:val="21"/>
                <w:u w:val="none"/>
                <w:lang w:val="en-US" w:eastAsia="zh-CN" w:bidi="ar"/>
              </w:rPr>
              <w:t xml:space="preserve">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48.88</w:t>
            </w:r>
            <w:r>
              <w:rPr>
                <w:rFonts w:hint="default" w:ascii="Times New Roman" w:hAnsi="Times New Roman" w:eastAsia="宋体" w:cs="Times New Roman"/>
                <w:i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二</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 植物措施</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2.66</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2.66</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2.66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val="0"/>
                <w:bCs/>
                <w:i w:val="0"/>
                <w:color w:val="000000"/>
                <w:sz w:val="21"/>
                <w:szCs w:val="21"/>
                <w:u w:val="none"/>
              </w:rPr>
            </w:pPr>
            <w:r>
              <w:rPr>
                <w:rFonts w:hint="default" w:ascii="仿宋_GB2312" w:hAnsi="宋体" w:eastAsia="仿宋_GB2312" w:cs="仿宋_GB2312"/>
                <w:b w:val="0"/>
                <w:bCs/>
                <w:i w:val="0"/>
                <w:color w:val="000000"/>
                <w:kern w:val="0"/>
                <w:sz w:val="21"/>
                <w:szCs w:val="21"/>
                <w:u w:val="none"/>
                <w:lang w:val="en-US" w:eastAsia="zh-CN" w:bidi="ar"/>
              </w:rPr>
              <w:t>采场防治区</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2.66</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2.66</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2.66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三</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第四部分 独立费用</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25.65</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25.65</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25.65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建设管理费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2.79</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2.79</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2.79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2</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水土保持监理费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4.00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4.00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3</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勘察设计费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4.86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4.86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4.86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4</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水土保持监测费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5.00</w:t>
            </w:r>
            <w:r>
              <w:rPr>
                <w:rFonts w:hint="default" w:ascii="Times New Roman" w:hAnsi="Times New Roman" w:eastAsia="宋体" w:cs="Times New Roman"/>
                <w:i w:val="0"/>
                <w:color w:val="000000"/>
                <w:kern w:val="0"/>
                <w:sz w:val="21"/>
                <w:szCs w:val="21"/>
                <w:u w:val="none"/>
                <w:lang w:val="en-US" w:eastAsia="zh-CN" w:bidi="ar"/>
              </w:rPr>
              <w:t xml:space="preserve">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5.00</w:t>
            </w:r>
            <w:r>
              <w:rPr>
                <w:rFonts w:hint="default" w:ascii="Times New Roman" w:hAnsi="Times New Roman" w:eastAsia="宋体" w:cs="Times New Roman"/>
                <w:i w:val="0"/>
                <w:color w:val="000000"/>
                <w:kern w:val="0"/>
                <w:sz w:val="21"/>
                <w:szCs w:val="21"/>
                <w:u w:val="none"/>
                <w:lang w:val="en-US" w:eastAsia="zh-CN" w:bidi="ar"/>
              </w:rPr>
              <w:t xml:space="preserve">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5.00</w:t>
            </w:r>
            <w:r>
              <w:rPr>
                <w:rFonts w:hint="default" w:ascii="Times New Roman" w:hAnsi="Times New Roman" w:eastAsia="宋体" w:cs="Times New Roman"/>
                <w:i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5</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水土保持设施验收技术评估费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9.00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9.00</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25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一至</w:t>
            </w:r>
            <w:r>
              <w:rPr>
                <w:rFonts w:hint="eastAsia" w:ascii="仿宋_GB2312" w:hAnsi="宋体" w:eastAsia="仿宋_GB2312" w:cs="仿宋_GB2312"/>
                <w:b/>
                <w:i w:val="0"/>
                <w:color w:val="000000"/>
                <w:kern w:val="0"/>
                <w:sz w:val="21"/>
                <w:szCs w:val="21"/>
                <w:u w:val="none"/>
                <w:lang w:val="en-US" w:eastAsia="zh-CN" w:bidi="ar"/>
              </w:rPr>
              <w:t>三</w:t>
            </w:r>
            <w:r>
              <w:rPr>
                <w:rFonts w:hint="default" w:ascii="仿宋_GB2312" w:hAnsi="宋体" w:eastAsia="仿宋_GB2312" w:cs="仿宋_GB2312"/>
                <w:b/>
                <w:i w:val="0"/>
                <w:color w:val="000000"/>
                <w:kern w:val="0"/>
                <w:sz w:val="21"/>
                <w:szCs w:val="21"/>
                <w:u w:val="none"/>
                <w:lang w:val="en-US" w:eastAsia="zh-CN" w:bidi="ar"/>
              </w:rPr>
              <w:t>部分合计</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137</w:t>
            </w:r>
          </w:p>
        </w:tc>
        <w:tc>
          <w:tcPr>
            <w:tcW w:w="211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2.66</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25.65</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165.31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165.31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四</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预备费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4.96</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4.96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基本预备费（</w:t>
            </w:r>
            <w:r>
              <w:rPr>
                <w:rFonts w:hint="default" w:ascii="Times New Roman" w:hAnsi="Times New Roman" w:eastAsia="仿宋_GB2312" w:cs="Times New Roman"/>
                <w:i w:val="0"/>
                <w:color w:val="000000"/>
                <w:kern w:val="0"/>
                <w:sz w:val="21"/>
                <w:szCs w:val="21"/>
                <w:u w:val="none"/>
                <w:lang w:val="en-US" w:eastAsia="zh-CN" w:bidi="ar"/>
              </w:rPr>
              <w:t>3%</w:t>
            </w:r>
            <w:r>
              <w:rPr>
                <w:rStyle w:val="205"/>
                <w:rFonts w:hAnsi="宋体"/>
                <w:lang w:val="en-US" w:eastAsia="zh-CN" w:bidi="ar"/>
              </w:rPr>
              <w:t>）</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lang w:val="en-US"/>
              </w:rPr>
            </w:pPr>
            <w:r>
              <w:rPr>
                <w:rFonts w:hint="eastAsia" w:eastAsia="宋体" w:cs="Times New Roman"/>
                <w:i w:val="0"/>
                <w:color w:val="000000"/>
                <w:kern w:val="0"/>
                <w:sz w:val="21"/>
                <w:szCs w:val="21"/>
                <w:u w:val="none"/>
                <w:lang w:val="en-US" w:eastAsia="zh-CN" w:bidi="ar"/>
              </w:rPr>
              <w:t>4.96</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eastAsia="宋体" w:cs="Times New Roman"/>
                <w:i w:val="0"/>
                <w:color w:val="000000"/>
                <w:kern w:val="0"/>
                <w:sz w:val="21"/>
                <w:szCs w:val="21"/>
                <w:u w:val="none"/>
                <w:lang w:val="en-US" w:eastAsia="zh-CN" w:bidi="ar"/>
              </w:rPr>
              <w:t>4.96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6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五</w:t>
            </w:r>
          </w:p>
        </w:tc>
        <w:tc>
          <w:tcPr>
            <w:tcW w:w="18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水土保持补偿费</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1.41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25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工程总投资</w:t>
            </w:r>
          </w:p>
        </w:tc>
        <w:tc>
          <w:tcPr>
            <w:tcW w:w="176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171.68</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p>
        </w:tc>
        <w:tc>
          <w:tcPr>
            <w:tcW w:w="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171.68</w:t>
            </w:r>
          </w:p>
        </w:tc>
      </w:tr>
    </w:tbl>
    <w:p>
      <w:pPr>
        <w:pStyle w:val="43"/>
        <w:ind w:firstLine="480"/>
        <w:rPr>
          <w:rFonts w:hint="eastAsia"/>
          <w:snapToGrid w:val="0"/>
          <w:kern w:val="0"/>
        </w:rPr>
      </w:pPr>
    </w:p>
    <w:p>
      <w:pPr>
        <w:pStyle w:val="43"/>
        <w:ind w:firstLine="480"/>
        <w:rPr>
          <w:rFonts w:hint="eastAsia"/>
          <w:snapToGrid w:val="0"/>
          <w:kern w:val="0"/>
        </w:rPr>
      </w:pPr>
    </w:p>
    <w:p>
      <w:pPr>
        <w:pStyle w:val="43"/>
        <w:ind w:firstLine="480"/>
        <w:rPr>
          <w:rFonts w:hint="eastAsia"/>
          <w:snapToGrid w:val="0"/>
          <w:kern w:val="0"/>
        </w:rPr>
      </w:pPr>
    </w:p>
    <w:p>
      <w:pPr>
        <w:pStyle w:val="43"/>
        <w:ind w:firstLine="480"/>
        <w:rPr>
          <w:snapToGrid w:val="0"/>
          <w:lang w:val="zh-CN"/>
        </w:rPr>
      </w:pPr>
      <w:r>
        <w:rPr>
          <w:snapToGrid w:val="0"/>
          <w:lang w:val="zh-CN"/>
        </w:rPr>
        <w:br w:type="page"/>
      </w:r>
    </w:p>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7</w:t>
      </w:r>
      <w:r>
        <w:rPr>
          <w:rFonts w:ascii="Times New Roman" w:hAnsi="Times New Roman" w:eastAsia="仿宋_GB2312"/>
          <w:b/>
          <w:sz w:val="24"/>
        </w:rPr>
        <w:t>-2  水土保持工程措施概算表          单位：万元</w:t>
      </w:r>
    </w:p>
    <w:tbl>
      <w:tblPr>
        <w:tblStyle w:val="24"/>
        <w:tblW w:w="87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17"/>
        <w:gridCol w:w="1832"/>
        <w:gridCol w:w="707"/>
        <w:gridCol w:w="1212"/>
        <w:gridCol w:w="1053"/>
        <w:gridCol w:w="1123"/>
        <w:gridCol w:w="1052"/>
        <w:gridCol w:w="11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6" w:hRule="atLeast"/>
          <w:jc w:val="center"/>
        </w:trPr>
        <w:tc>
          <w:tcPr>
            <w:tcW w:w="61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3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0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单位</w:t>
            </w:r>
          </w:p>
        </w:tc>
        <w:tc>
          <w:tcPr>
            <w:tcW w:w="121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数 量</w:t>
            </w:r>
          </w:p>
        </w:tc>
        <w:tc>
          <w:tcPr>
            <w:tcW w:w="105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单价（元）</w:t>
            </w:r>
          </w:p>
        </w:tc>
        <w:tc>
          <w:tcPr>
            <w:tcW w:w="112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合价</w:t>
            </w:r>
            <w:r>
              <w:rPr>
                <w:rFonts w:hint="eastAsia" w:ascii="仿宋_GB2312" w:hAnsi="宋体" w:eastAsia="仿宋_GB2312" w:cs="仿宋_GB2312"/>
                <w:i w:val="0"/>
                <w:color w:val="000000"/>
                <w:kern w:val="0"/>
                <w:sz w:val="21"/>
                <w:szCs w:val="21"/>
                <w:u w:val="none"/>
                <w:lang w:val="en-US" w:eastAsia="zh-CN" w:bidi="ar"/>
              </w:rPr>
              <w:t>（万元）</w:t>
            </w:r>
          </w:p>
        </w:tc>
        <w:tc>
          <w:tcPr>
            <w:tcW w:w="223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61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3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0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2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5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2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244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第一部分</w:t>
            </w:r>
            <w:r>
              <w:rPr>
                <w:rStyle w:val="201"/>
                <w:rFonts w:hAnsi="宋体"/>
                <w:lang w:val="en-US" w:eastAsia="zh-CN" w:bidi="ar"/>
              </w:rPr>
              <w:t xml:space="preserve"> 工程措施</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137</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bCs/>
                <w:i w:val="0"/>
                <w:color w:val="000000"/>
                <w:kern w:val="0"/>
                <w:sz w:val="21"/>
                <w:szCs w:val="21"/>
                <w:u w:val="none"/>
                <w:lang w:val="en-US" w:eastAsia="zh-CN" w:bidi="ar"/>
              </w:rPr>
              <w:t>137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8"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一</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采场防治区</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i w:val="0"/>
                <w:color w:val="000000"/>
                <w:sz w:val="22"/>
                <w:szCs w:val="22"/>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80.73</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80.73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sz w:val="21"/>
                <w:szCs w:val="21"/>
                <w:u w:val="none"/>
                <w:lang w:val="en-US" w:eastAsia="zh-CN"/>
              </w:rPr>
            </w:pPr>
            <w:r>
              <w:rPr>
                <w:rFonts w:hint="eastAsia" w:ascii="Times New Roman" w:hAnsi="Times New Roman" w:eastAsia="宋体" w:cs="Times New Roman"/>
                <w:i w:val="0"/>
                <w:color w:val="000000"/>
                <w:sz w:val="21"/>
                <w:szCs w:val="21"/>
                <w:u w:val="none"/>
                <w:lang w:val="en-US" w:eastAsia="zh-CN"/>
              </w:rPr>
              <w:t>1</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覆土</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4784.00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10</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4.78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4.78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2</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排水沟</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234</w:t>
            </w:r>
            <w:r>
              <w:rPr>
                <w:rFonts w:hint="eastAsia" w:eastAsia="宋体" w:cs="Times New Roman"/>
                <w:i w:val="0"/>
                <w:color w:val="000000"/>
                <w:kern w:val="0"/>
                <w:sz w:val="21"/>
                <w:szCs w:val="21"/>
                <w:u w:val="none"/>
                <w:lang w:val="en-US" w:eastAsia="zh-CN" w:bidi="ar"/>
              </w:rPr>
              <w:t>6</w:t>
            </w:r>
            <w:r>
              <w:rPr>
                <w:rFonts w:hint="eastAsia" w:ascii="Times New Roman" w:hAnsi="Times New Roman" w:eastAsia="宋体" w:cs="Times New Roman"/>
                <w:i w:val="0"/>
                <w:color w:val="000000"/>
                <w:kern w:val="0"/>
                <w:sz w:val="21"/>
                <w:szCs w:val="21"/>
                <w:u w:val="none"/>
                <w:lang w:val="en-US" w:eastAsia="zh-CN" w:bidi="ar"/>
              </w:rPr>
              <w:t xml:space="preserve">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53.76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53.76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土方开挖</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2206.19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12.65</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2.79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土方回填</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574.38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35.06</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2.01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2.01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浆砌石</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1427.94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342.86</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48.96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48.96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3</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截水沟</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m</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832</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19.07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19.07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土方开挖</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782.68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12.65</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0.99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0.99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土方回填</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203.31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35.06</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0.71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0.71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浆砌石</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506.58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342.86</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17.37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17.37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ascii="Times New Roman" w:hAnsi="Times New Roman" w:eastAsia="宋体" w:cs="Times New Roman"/>
                <w:i w:val="0"/>
                <w:color w:val="000000"/>
                <w:sz w:val="22"/>
                <w:szCs w:val="22"/>
                <w:u w:val="none"/>
                <w:lang w:val="en-US" w:eastAsia="zh-CN"/>
              </w:rPr>
            </w:pPr>
            <w:r>
              <w:rPr>
                <w:rFonts w:hint="eastAsia" w:ascii="Times New Roman" w:hAnsi="Times New Roman" w:eastAsia="仿宋_GB2312"/>
                <w:kern w:val="0"/>
                <w:szCs w:val="21"/>
                <w:lang w:val="en-US" w:eastAsia="zh-CN"/>
              </w:rPr>
              <w:t>4</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沉砂池</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仿宋_GB2312"/>
                <w:kern w:val="0"/>
                <w:szCs w:val="21"/>
                <w:lang w:val="en-US" w:eastAsia="zh-CN"/>
              </w:rPr>
              <w:t>个</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2.98</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2.98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eastAsia="宋体" w:cs="Times New Roman"/>
                <w:i w:val="0"/>
                <w:color w:val="000000"/>
                <w:sz w:val="22"/>
                <w:szCs w:val="22"/>
                <w:u w:val="none"/>
                <w:lang w:val="en-US" w:eastAsia="zh-CN"/>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土方开挖</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160</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12.65</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0.20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eastAsia="宋体" w:cs="Times New Roman"/>
                <w:i w:val="0"/>
                <w:color w:val="000000"/>
                <w:sz w:val="22"/>
                <w:szCs w:val="22"/>
                <w:u w:val="none"/>
                <w:lang w:val="en-US" w:eastAsia="zh-CN"/>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土方回填</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38</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35.06</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0.13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eastAsia="宋体" w:cs="Times New Roman"/>
                <w:i w:val="0"/>
                <w:color w:val="000000"/>
                <w:sz w:val="22"/>
                <w:szCs w:val="22"/>
                <w:u w:val="none"/>
                <w:lang w:val="en-US" w:eastAsia="zh-CN"/>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浆砌石</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77.4</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342.86</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2.65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2.65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eastAsia="宋体" w:cs="Times New Roman"/>
                <w:i w:val="0"/>
                <w:color w:val="000000"/>
                <w:sz w:val="22"/>
                <w:szCs w:val="22"/>
                <w:u w:val="none"/>
                <w:lang w:val="en-US" w:eastAsia="zh-CN"/>
              </w:rPr>
            </w:pPr>
            <w:r>
              <w:rPr>
                <w:rFonts w:hint="eastAsia" w:eastAsia="宋体" w:cs="Times New Roman"/>
                <w:i w:val="0"/>
                <w:color w:val="000000"/>
                <w:sz w:val="22"/>
                <w:szCs w:val="22"/>
                <w:u w:val="none"/>
                <w:lang w:val="en-US" w:eastAsia="zh-CN"/>
              </w:rPr>
              <w:t>5</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b w:val="0"/>
                <w:bCs/>
                <w:i w:val="0"/>
                <w:color w:val="000000"/>
                <w:sz w:val="21"/>
                <w:szCs w:val="21"/>
                <w:u w:val="none"/>
                <w:lang w:val="en-US" w:eastAsia="zh-CN"/>
              </w:rPr>
              <w:t>土地平整</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hm</w:t>
            </w:r>
            <w:r>
              <w:rPr>
                <w:rFonts w:hint="eastAsia" w:eastAsia="宋体" w:cs="Times New Roman"/>
                <w:i w:val="0"/>
                <w:color w:val="000000"/>
                <w:kern w:val="0"/>
                <w:sz w:val="21"/>
                <w:szCs w:val="21"/>
                <w:u w:val="none"/>
                <w:vertAlign w:val="superscript"/>
                <w:lang w:val="en-US" w:eastAsia="zh-CN" w:bidi="ar"/>
              </w:rPr>
              <w:t>2</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1.57</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830.07</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0.13</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i w:val="0"/>
                <w:color w:val="000000"/>
                <w:kern w:val="0"/>
                <w:sz w:val="21"/>
                <w:szCs w:val="21"/>
                <w:u w:val="none"/>
                <w:lang w:val="en-US" w:eastAsia="zh-CN" w:bidi="ar"/>
              </w:rPr>
              <w:t>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8"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二</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加工场地防治区</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i w:val="0"/>
                <w:color w:val="000000"/>
                <w:sz w:val="22"/>
                <w:szCs w:val="22"/>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7.39</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bCs/>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7.39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排水沟</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32</w:t>
            </w:r>
            <w:r>
              <w:rPr>
                <w:rFonts w:hint="eastAsia" w:eastAsia="宋体" w:cs="Times New Roman"/>
                <w:i w:val="0"/>
                <w:color w:val="000000"/>
                <w:kern w:val="0"/>
                <w:sz w:val="21"/>
                <w:szCs w:val="21"/>
                <w:u w:val="none"/>
                <w:lang w:val="en-US" w:eastAsia="zh-CN" w:bidi="ar"/>
              </w:rPr>
              <w:t>3</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7.39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7.39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土方开挖</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303.30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12.65</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0.38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土方回填</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78.97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35.06</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0.28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0.28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浆砌石</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196.30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342.86</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6.73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6.73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8"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三</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eastAsia" w:ascii="仿宋_GB2312" w:hAnsi="宋体" w:eastAsia="仿宋_GB2312" w:cs="仿宋_GB2312"/>
                <w:b/>
                <w:i w:val="0"/>
                <w:color w:val="000000"/>
                <w:kern w:val="0"/>
                <w:sz w:val="21"/>
                <w:szCs w:val="21"/>
                <w:u w:val="none"/>
                <w:lang w:val="en-US" w:eastAsia="zh-CN" w:bidi="ar"/>
              </w:rPr>
              <w:t>场地道路</w:t>
            </w:r>
            <w:r>
              <w:rPr>
                <w:rFonts w:hint="default" w:ascii="仿宋_GB2312" w:hAnsi="宋体" w:eastAsia="仿宋_GB2312" w:cs="仿宋_GB2312"/>
                <w:b/>
                <w:i w:val="0"/>
                <w:color w:val="000000"/>
                <w:kern w:val="0"/>
                <w:sz w:val="21"/>
                <w:szCs w:val="21"/>
                <w:u w:val="none"/>
                <w:lang w:val="en-US" w:eastAsia="zh-CN" w:bidi="ar"/>
              </w:rPr>
              <w:t>防治区</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i w:val="0"/>
                <w:color w:val="000000"/>
                <w:sz w:val="21"/>
                <w:szCs w:val="21"/>
                <w:u w:val="none"/>
              </w:rPr>
            </w:pP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i w:val="0"/>
                <w:color w:val="000000"/>
                <w:sz w:val="21"/>
                <w:szCs w:val="21"/>
                <w:u w:val="none"/>
              </w:rPr>
            </w:pP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48.88</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bCs/>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48.88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i w:val="0"/>
                <w:color w:val="000000"/>
                <w:sz w:val="22"/>
                <w:szCs w:val="22"/>
                <w:u w:val="none"/>
                <w:lang w:val="en-US" w:eastAsia="zh-CN"/>
              </w:rPr>
            </w:pPr>
            <w:r>
              <w:rPr>
                <w:rFonts w:hint="eastAsia" w:ascii="Times New Roman" w:hAnsi="Times New Roman" w:eastAsia="宋体" w:cs="Times New Roman"/>
                <w:i w:val="0"/>
                <w:color w:val="000000"/>
                <w:sz w:val="22"/>
                <w:szCs w:val="22"/>
                <w:u w:val="none"/>
                <w:lang w:val="en-US" w:eastAsia="zh-CN"/>
              </w:rPr>
              <w:t>1</w:t>
            </w: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排水沟</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2132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48.88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48.88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土方开挖</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2005.63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12.65</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2.54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2.54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土方回填</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522.16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35.06</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1.83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1.83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jc w:val="center"/>
        </w:trPr>
        <w:tc>
          <w:tcPr>
            <w:tcW w:w="61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浆砌石</w:t>
            </w:r>
          </w:p>
        </w:tc>
        <w:tc>
          <w:tcPr>
            <w:tcW w:w="7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m</w:t>
            </w:r>
            <w:r>
              <w:rPr>
                <w:rFonts w:hint="default" w:ascii="Times New Roman" w:hAnsi="Times New Roman" w:eastAsia="宋体" w:cs="Times New Roman"/>
                <w:i w:val="0"/>
                <w:color w:val="000000"/>
                <w:kern w:val="0"/>
                <w:sz w:val="14"/>
                <w:szCs w:val="14"/>
                <w:u w:val="none"/>
                <w:lang w:val="en-US" w:eastAsia="zh-CN" w:bidi="ar"/>
              </w:rPr>
              <w:t>3</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1298.12 </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342.86</w:t>
            </w:r>
          </w:p>
        </w:tc>
        <w:tc>
          <w:tcPr>
            <w:tcW w:w="11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44.51 </w:t>
            </w:r>
          </w:p>
        </w:tc>
        <w:tc>
          <w:tcPr>
            <w:tcW w:w="10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p>
        </w:tc>
        <w:tc>
          <w:tcPr>
            <w:tcW w:w="11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44.51 </w:t>
            </w:r>
          </w:p>
        </w:tc>
      </w:tr>
    </w:tbl>
    <w:p>
      <w:pPr>
        <w:spacing w:before="156" w:beforeLines="50"/>
        <w:jc w:val="right"/>
        <w:rPr>
          <w:rFonts w:ascii="Times New Roman" w:hAnsi="Times New Roman" w:eastAsia="仿宋_GB2312"/>
          <w:b/>
          <w:sz w:val="24"/>
        </w:rPr>
      </w:pPr>
    </w:p>
    <w:p>
      <w:pPr>
        <w:rPr>
          <w:rFonts w:ascii="Times New Roman" w:hAnsi="Times New Roman" w:eastAsia="仿宋_GB2312"/>
          <w:b/>
          <w:sz w:val="24"/>
        </w:rPr>
      </w:pPr>
      <w:r>
        <w:rPr>
          <w:rFonts w:ascii="Times New Roman" w:hAnsi="Times New Roman" w:eastAsia="仿宋_GB2312"/>
          <w:b/>
          <w:sz w:val="24"/>
        </w:rPr>
        <w:br w:type="page"/>
      </w:r>
    </w:p>
    <w:p>
      <w:pPr>
        <w:spacing w:before="156" w:beforeLines="50"/>
        <w:jc w:val="right"/>
        <w:rPr>
          <w:rFonts w:ascii="Times New Roman" w:hAnsi="Times New Roman" w:eastAsia="仿宋_GB2312"/>
          <w:b/>
          <w:sz w:val="24"/>
        </w:rPr>
      </w:pPr>
      <w:r>
        <w:rPr>
          <w:rFonts w:ascii="Times New Roman" w:hAnsi="Times New Roman" w:eastAsia="仿宋_GB2312"/>
          <w:b/>
          <w:sz w:val="24"/>
        </w:rPr>
        <w:t>表</w:t>
      </w:r>
      <w:r>
        <w:rPr>
          <w:rFonts w:hint="eastAsia" w:eastAsia="仿宋_GB2312"/>
          <w:b/>
          <w:sz w:val="24"/>
          <w:lang w:val="en-US" w:eastAsia="zh-CN"/>
        </w:rPr>
        <w:t>7</w:t>
      </w:r>
      <w:r>
        <w:rPr>
          <w:rFonts w:ascii="Times New Roman" w:hAnsi="Times New Roman" w:eastAsia="仿宋_GB2312"/>
          <w:b/>
          <w:sz w:val="24"/>
        </w:rPr>
        <w:t>-3  水土保持植物措施概算表         单位：万元</w:t>
      </w:r>
    </w:p>
    <w:tbl>
      <w:tblPr>
        <w:tblStyle w:val="24"/>
        <w:tblW w:w="92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97"/>
        <w:gridCol w:w="1868"/>
        <w:gridCol w:w="734"/>
        <w:gridCol w:w="1099"/>
        <w:gridCol w:w="1100"/>
        <w:gridCol w:w="1542"/>
        <w:gridCol w:w="1100"/>
        <w:gridCol w:w="1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序号</w:t>
            </w:r>
          </w:p>
        </w:tc>
        <w:tc>
          <w:tcPr>
            <w:tcW w:w="186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73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单位</w:t>
            </w:r>
          </w:p>
        </w:tc>
        <w:tc>
          <w:tcPr>
            <w:tcW w:w="109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数 量</w:t>
            </w:r>
          </w:p>
        </w:tc>
        <w:tc>
          <w:tcPr>
            <w:tcW w:w="110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单价（元）</w:t>
            </w:r>
          </w:p>
        </w:tc>
        <w:tc>
          <w:tcPr>
            <w:tcW w:w="154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合价</w:t>
            </w:r>
            <w:r>
              <w:rPr>
                <w:rFonts w:hint="eastAsia" w:ascii="仿宋_GB2312" w:hAnsi="宋体" w:eastAsia="仿宋_GB2312" w:cs="仿宋_GB2312"/>
                <w:i w:val="0"/>
                <w:color w:val="000000"/>
                <w:kern w:val="0"/>
                <w:sz w:val="21"/>
                <w:szCs w:val="21"/>
                <w:u w:val="none"/>
                <w:lang w:val="en-US" w:eastAsia="zh-CN" w:bidi="ar"/>
              </w:rPr>
              <w:t>（万元）</w:t>
            </w:r>
          </w:p>
        </w:tc>
        <w:tc>
          <w:tcPr>
            <w:tcW w:w="220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其中</w:t>
            </w:r>
            <w:r>
              <w:rPr>
                <w:rFonts w:hint="eastAsia" w:ascii="仿宋_GB2312" w:hAnsi="宋体" w:eastAsia="仿宋_GB2312" w:cs="仿宋_GB2312"/>
                <w:i w:val="0"/>
                <w:color w:val="000000"/>
                <w:kern w:val="0"/>
                <w:sz w:val="21"/>
                <w:szCs w:val="21"/>
                <w:u w:val="none"/>
                <w:lang w:val="en-US" w:eastAsia="zh-CN" w:bidi="ar"/>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86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73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9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0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54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主体已有</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方案新增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256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第二部分</w:t>
            </w:r>
            <w:r>
              <w:rPr>
                <w:rFonts w:ascii="Arial" w:hAnsi="Arial" w:eastAsia="仿宋_GB2312" w:cs="Arial"/>
                <w:b/>
                <w:i w:val="0"/>
                <w:color w:val="000000"/>
                <w:kern w:val="0"/>
                <w:sz w:val="21"/>
                <w:szCs w:val="21"/>
                <w:u w:val="none"/>
                <w:lang w:val="en-US" w:eastAsia="zh-CN" w:bidi="ar"/>
              </w:rPr>
              <w:t xml:space="preserve"> </w:t>
            </w:r>
            <w:r>
              <w:rPr>
                <w:rStyle w:val="202"/>
                <w:rFonts w:hAnsi="宋体"/>
                <w:lang w:val="en-US" w:eastAsia="zh-CN" w:bidi="ar"/>
              </w:rPr>
              <w:t>植物措施</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lang w:val="en-US"/>
              </w:rPr>
            </w:pPr>
            <w:r>
              <w:rPr>
                <w:rFonts w:hint="eastAsia" w:eastAsia="宋体" w:cs="Times New Roman"/>
                <w:b/>
                <w:i w:val="0"/>
                <w:color w:val="000000"/>
                <w:kern w:val="0"/>
                <w:sz w:val="21"/>
                <w:szCs w:val="21"/>
                <w:u w:val="none"/>
                <w:lang w:val="en-US" w:eastAsia="zh-CN" w:bidi="ar"/>
              </w:rPr>
              <w:t>2.66</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i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i w:val="0"/>
                <w:color w:val="000000"/>
                <w:kern w:val="0"/>
                <w:sz w:val="21"/>
                <w:szCs w:val="21"/>
                <w:u w:val="none"/>
                <w:lang w:val="en-US" w:eastAsia="zh-CN" w:bidi="ar"/>
              </w:rPr>
              <w:t>2.66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1"/>
                <w:szCs w:val="21"/>
                <w:u w:val="none"/>
                <w:lang w:eastAsia="zh-CN"/>
              </w:rPr>
            </w:pPr>
            <w:r>
              <w:rPr>
                <w:rFonts w:hint="eastAsia" w:ascii="仿宋_GB2312" w:hAnsi="宋体" w:eastAsia="仿宋_GB2312" w:cs="仿宋_GB2312"/>
                <w:b/>
                <w:i w:val="0"/>
                <w:color w:val="000000"/>
                <w:sz w:val="21"/>
                <w:szCs w:val="21"/>
                <w:u w:val="none"/>
                <w:lang w:eastAsia="zh-CN"/>
              </w:rPr>
              <w:t>一</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1"/>
                <w:szCs w:val="21"/>
                <w:u w:val="none"/>
              </w:rPr>
            </w:pPr>
            <w:r>
              <w:rPr>
                <w:rFonts w:hint="default" w:ascii="仿宋_GB2312" w:hAnsi="宋体" w:eastAsia="仿宋_GB2312" w:cs="仿宋_GB2312"/>
                <w:b/>
                <w:i w:val="0"/>
                <w:color w:val="000000"/>
                <w:kern w:val="0"/>
                <w:sz w:val="21"/>
                <w:szCs w:val="21"/>
                <w:u w:val="none"/>
                <w:lang w:val="en-US" w:eastAsia="zh-CN" w:bidi="ar"/>
              </w:rPr>
              <w:t>采场防治区</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eastAsia="宋体" w:cs="Times New Roman"/>
                <w:b/>
                <w:bCs/>
                <w:i w:val="0"/>
                <w:color w:val="000000"/>
                <w:kern w:val="0"/>
                <w:sz w:val="21"/>
                <w:szCs w:val="21"/>
                <w:u w:val="none"/>
                <w:lang w:val="en-US" w:eastAsia="zh-CN" w:bidi="ar"/>
              </w:rPr>
              <w:t>2.66</w:t>
            </w:r>
            <w:r>
              <w:rPr>
                <w:rFonts w:hint="eastAsia" w:ascii="Times New Roman" w:hAnsi="Times New Roman" w:eastAsia="宋体" w:cs="Times New Roman"/>
                <w:i w:val="0"/>
                <w:color w:val="000000"/>
                <w:kern w:val="0"/>
                <w:sz w:val="21"/>
                <w:szCs w:val="21"/>
                <w:u w:val="none"/>
                <w:lang w:val="en-US" w:eastAsia="zh-CN" w:bidi="ar"/>
              </w:rPr>
              <w:t xml:space="preserve">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i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1"/>
                <w:szCs w:val="21"/>
                <w:u w:val="none"/>
              </w:rPr>
            </w:pPr>
            <w:r>
              <w:rPr>
                <w:rFonts w:hint="eastAsia" w:eastAsia="宋体" w:cs="Times New Roman"/>
                <w:b/>
                <w:bCs/>
                <w:i w:val="0"/>
                <w:color w:val="000000"/>
                <w:kern w:val="0"/>
                <w:sz w:val="21"/>
                <w:szCs w:val="21"/>
                <w:u w:val="none"/>
                <w:lang w:val="en-US" w:eastAsia="zh-CN" w:bidi="ar"/>
              </w:rPr>
              <w:t>2.66</w:t>
            </w:r>
            <w:r>
              <w:rPr>
                <w:rFonts w:hint="eastAsia" w:ascii="Times New Roman" w:hAnsi="Times New Roman" w:eastAsia="宋体" w:cs="Times New Roman"/>
                <w:i w:val="0"/>
                <w:color w:val="000000"/>
                <w:kern w:val="0"/>
                <w:sz w:val="21"/>
                <w:szCs w:val="21"/>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1</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栽植刺槐</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2.11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 xml:space="preserve">2.11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4"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穴状整地（3</w:t>
            </w:r>
            <w:r>
              <w:rPr>
                <w:rStyle w:val="203"/>
                <w:rFonts w:eastAsia="仿宋_GB2312"/>
                <w:lang w:val="en-US" w:eastAsia="zh-CN" w:bidi="ar"/>
              </w:rPr>
              <w:t>0×</w:t>
            </w:r>
            <w:r>
              <w:rPr>
                <w:rFonts w:hint="default" w:ascii="仿宋_GB2312" w:hAnsi="宋体" w:eastAsia="仿宋_GB2312" w:cs="仿宋_GB2312"/>
                <w:i w:val="0"/>
                <w:color w:val="000000"/>
                <w:kern w:val="0"/>
                <w:sz w:val="21"/>
                <w:szCs w:val="21"/>
                <w:u w:val="none"/>
                <w:lang w:val="en-US" w:eastAsia="zh-CN" w:bidi="ar"/>
              </w:rPr>
              <w:t>3</w:t>
            </w:r>
            <w:r>
              <w:rPr>
                <w:rStyle w:val="203"/>
                <w:rFonts w:eastAsia="仿宋_GB2312"/>
                <w:lang w:val="en-US" w:eastAsia="zh-CN" w:bidi="ar"/>
              </w:rPr>
              <w:t>0</w:t>
            </w:r>
            <w:r>
              <w:rPr>
                <w:rFonts w:hint="default" w:ascii="仿宋_GB2312" w:hAnsi="宋体" w:eastAsia="仿宋_GB2312" w:cs="仿宋_GB2312"/>
                <w:i w:val="0"/>
                <w:color w:val="000000"/>
                <w:kern w:val="0"/>
                <w:sz w:val="21"/>
                <w:szCs w:val="21"/>
                <w:u w:val="none"/>
                <w:lang w:val="en-US" w:eastAsia="zh-CN" w:bidi="ar"/>
              </w:rPr>
              <w:t>）</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个</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eastAsia" w:ascii="Times New Roman" w:hAnsi="Times New Roman" w:eastAsia="宋体" w:cs="Times New Roman"/>
                <w:i w:val="0"/>
                <w:color w:val="000000"/>
                <w:kern w:val="0"/>
                <w:sz w:val="21"/>
                <w:szCs w:val="21"/>
                <w:u w:val="none"/>
                <w:lang w:val="en-US" w:eastAsia="zh-CN" w:bidi="ar"/>
              </w:rPr>
              <w:t>259</w:t>
            </w:r>
            <w:r>
              <w:rPr>
                <w:rFonts w:hint="eastAsia" w:eastAsia="宋体" w:cs="Times New Roman"/>
                <w:i w:val="0"/>
                <w:color w:val="000000"/>
                <w:kern w:val="0"/>
                <w:sz w:val="21"/>
                <w:szCs w:val="21"/>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0.42 </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0.11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 xml:space="preserve">0.11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栽植苗数</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株</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259</w:t>
            </w:r>
            <w:r>
              <w:rPr>
                <w:rFonts w:hint="eastAsia" w:eastAsia="宋体" w:cs="Times New Roman"/>
                <w:i w:val="0"/>
                <w:color w:val="000000"/>
                <w:kern w:val="0"/>
                <w:sz w:val="21"/>
                <w:szCs w:val="21"/>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4.66 </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1.21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 xml:space="preserve">1.21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需苗量</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株</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264</w:t>
            </w:r>
            <w:r>
              <w:rPr>
                <w:rFonts w:hint="eastAsia" w:eastAsia="宋体" w:cs="Times New Roman"/>
                <w:i w:val="0"/>
                <w:color w:val="000000"/>
                <w:kern w:val="0"/>
                <w:sz w:val="21"/>
                <w:szCs w:val="21"/>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3.00 </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0.79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 xml:space="preserve">0.79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7"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种植爬山虎</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仿宋_GB2312" w:hAnsi="宋体" w:eastAsia="仿宋_GB2312" w:cs="仿宋_GB2312"/>
                <w:i w:val="0"/>
                <w:color w:val="000000"/>
                <w:sz w:val="21"/>
                <w:szCs w:val="21"/>
                <w:u w:val="none"/>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0.31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 xml:space="preserve">0.31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栽植苗数</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株</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77</w:t>
            </w:r>
            <w:r>
              <w:rPr>
                <w:rFonts w:hint="eastAsia" w:eastAsia="宋体" w:cs="Times New Roman"/>
                <w:i w:val="0"/>
                <w:color w:val="000000"/>
                <w:kern w:val="0"/>
                <w:sz w:val="21"/>
                <w:szCs w:val="21"/>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0.89 </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0.07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 xml:space="preserve">0.07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需苗量</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株</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79</w:t>
            </w:r>
            <w:r>
              <w:rPr>
                <w:rFonts w:hint="eastAsia" w:eastAsia="宋体" w:cs="Times New Roman"/>
                <w:i w:val="0"/>
                <w:color w:val="000000"/>
                <w:kern w:val="0"/>
                <w:sz w:val="21"/>
                <w:szCs w:val="21"/>
                <w:u w:val="none"/>
                <w:lang w:val="en-US" w:eastAsia="zh-CN" w:bidi="ar"/>
              </w:rPr>
              <w:t>5</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3.00 </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0.24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 xml:space="preserve">0.24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w:t>
            </w: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紫花苜蓿</w:t>
            </w:r>
          </w:p>
        </w:tc>
        <w:tc>
          <w:tcPr>
            <w:tcW w:w="734" w:type="dxa"/>
            <w:tcBorders>
              <w:top w:val="single" w:color="000000" w:sz="4" w:space="0"/>
              <w:left w:val="single" w:color="000000" w:sz="4" w:space="0"/>
              <w:bottom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1"/>
                <w:szCs w:val="21"/>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0.24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 xml:space="preserve">0.24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撒播</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h</w:t>
            </w:r>
            <w:r>
              <w:rPr>
                <w:rFonts w:hint="eastAsia" w:ascii="Times New Roman" w:hAnsi="Times New Roman" w:eastAsia="宋体" w:cs="Times New Roman"/>
                <w:i w:val="0"/>
                <w:color w:val="000000"/>
                <w:kern w:val="0"/>
                <w:sz w:val="21"/>
                <w:szCs w:val="21"/>
                <w:u w:val="none"/>
                <w:lang w:val="en-US" w:eastAsia="zh-CN" w:bidi="ar"/>
              </w:rPr>
              <w:t>m²</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eastAsia" w:ascii="Times New Roman" w:hAnsi="Times New Roman" w:eastAsia="宋体" w:cs="Times New Roman"/>
                <w:i w:val="0"/>
                <w:color w:val="000000"/>
                <w:kern w:val="0"/>
                <w:sz w:val="21"/>
                <w:szCs w:val="21"/>
                <w:u w:val="none"/>
                <w:lang w:val="en-US" w:eastAsia="zh-CN" w:bidi="ar"/>
              </w:rPr>
              <w:t xml:space="preserve">1.56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199.01 </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0.03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 xml:space="preserve">0.03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5" w:hRule="atLeast"/>
          <w:jc w:val="center"/>
        </w:trPr>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2"/>
                <w:szCs w:val="22"/>
                <w:u w:val="none"/>
              </w:rPr>
            </w:pPr>
          </w:p>
        </w:tc>
        <w:tc>
          <w:tcPr>
            <w:tcW w:w="18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草籽量</w:t>
            </w:r>
          </w:p>
        </w:tc>
        <w:tc>
          <w:tcPr>
            <w:tcW w:w="734"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kg</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 xml:space="preserve">69.99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default" w:ascii="Times New Roman" w:hAnsi="Times New Roman" w:eastAsia="宋体" w:cs="Times New Roman"/>
                <w:i w:val="0"/>
                <w:color w:val="000000"/>
                <w:kern w:val="0"/>
                <w:sz w:val="21"/>
                <w:szCs w:val="21"/>
                <w:u w:val="none"/>
                <w:lang w:val="en-US" w:eastAsia="zh-CN" w:bidi="ar"/>
              </w:rPr>
              <w:t xml:space="preserve">30.00 </w:t>
            </w: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 xml:space="preserve">0.21 </w:t>
            </w: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11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1"/>
                <w:szCs w:val="21"/>
                <w:u w:val="none"/>
              </w:rPr>
            </w:pPr>
            <w:r>
              <w:rPr>
                <w:rFonts w:hint="eastAsia" w:ascii="Times New Roman" w:hAnsi="Times New Roman" w:eastAsia="宋体" w:cs="Times New Roman"/>
                <w:i w:val="0"/>
                <w:color w:val="000000"/>
                <w:kern w:val="0"/>
                <w:sz w:val="21"/>
                <w:szCs w:val="21"/>
                <w:u w:val="none"/>
                <w:lang w:val="en-US" w:eastAsia="zh-CN" w:bidi="ar"/>
              </w:rPr>
              <w:t xml:space="preserve">0.21 </w:t>
            </w:r>
          </w:p>
        </w:tc>
      </w:tr>
    </w:tbl>
    <w:p>
      <w:pPr>
        <w:spacing w:before="156" w:beforeLines="50"/>
        <w:jc w:val="right"/>
        <w:rPr>
          <w:rFonts w:ascii="Times New Roman" w:hAnsi="Times New Roman" w:eastAsia="仿宋_GB2312"/>
          <w:b/>
          <w:sz w:val="24"/>
        </w:rPr>
      </w:pPr>
    </w:p>
    <w:p>
      <w:pPr>
        <w:spacing w:before="156" w:beforeLines="50"/>
        <w:jc w:val="right"/>
        <w:rPr>
          <w:rFonts w:ascii="Times New Roman" w:hAnsi="Times New Roman" w:eastAsia="仿宋_GB2312"/>
        </w:rPr>
      </w:pPr>
      <w:r>
        <w:rPr>
          <w:rFonts w:ascii="Times New Roman" w:hAnsi="Times New Roman" w:eastAsia="仿宋_GB2312"/>
          <w:b/>
          <w:sz w:val="24"/>
        </w:rPr>
        <w:t>表</w:t>
      </w:r>
      <w:r>
        <w:rPr>
          <w:rFonts w:hint="eastAsia" w:eastAsia="仿宋_GB2312"/>
          <w:b/>
          <w:sz w:val="24"/>
          <w:lang w:val="en-US" w:eastAsia="zh-CN"/>
        </w:rPr>
        <w:t>7</w:t>
      </w:r>
      <w:r>
        <w:rPr>
          <w:rFonts w:ascii="Times New Roman" w:hAnsi="Times New Roman" w:eastAsia="仿宋_GB2312"/>
          <w:b/>
          <w:sz w:val="24"/>
        </w:rPr>
        <w:t>-</w:t>
      </w:r>
      <w:r>
        <w:rPr>
          <w:rFonts w:hint="eastAsia" w:eastAsia="仿宋_GB2312"/>
          <w:b/>
          <w:sz w:val="24"/>
          <w:lang w:val="en-US" w:eastAsia="zh-CN"/>
        </w:rPr>
        <w:t>4</w:t>
      </w:r>
      <w:r>
        <w:rPr>
          <w:rFonts w:ascii="Times New Roman" w:hAnsi="Times New Roman" w:eastAsia="仿宋_GB2312"/>
          <w:b/>
          <w:sz w:val="24"/>
        </w:rPr>
        <w:t xml:space="preserve">  水土保持独立费用概算表</w:t>
      </w:r>
      <w:r>
        <w:rPr>
          <w:rFonts w:ascii="Times New Roman" w:hAnsi="Times New Roman" w:eastAsia="仿宋_GB2312"/>
        </w:rPr>
        <w:t xml:space="preserve">          单位：万元</w:t>
      </w:r>
    </w:p>
    <w:tbl>
      <w:tblPr>
        <w:tblStyle w:val="24"/>
        <w:tblW w:w="90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9"/>
        <w:gridCol w:w="1701"/>
        <w:gridCol w:w="5195"/>
        <w:gridCol w:w="13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top"/>
          </w:tcPr>
          <w:p>
            <w:pPr>
              <w:pStyle w:val="204"/>
              <w:spacing w:before="34"/>
              <w:ind w:left="158" w:right="15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序号</w:t>
            </w:r>
          </w:p>
        </w:tc>
        <w:tc>
          <w:tcPr>
            <w:tcW w:w="1701" w:type="dxa"/>
            <w:noWrap w:val="0"/>
            <w:vAlign w:val="top"/>
          </w:tcPr>
          <w:p>
            <w:pPr>
              <w:pStyle w:val="204"/>
              <w:spacing w:before="34"/>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工程或费用名称</w:t>
            </w:r>
          </w:p>
        </w:tc>
        <w:tc>
          <w:tcPr>
            <w:tcW w:w="5195" w:type="dxa"/>
            <w:noWrap w:val="0"/>
            <w:vAlign w:val="top"/>
          </w:tcPr>
          <w:p>
            <w:pPr>
              <w:pStyle w:val="204"/>
              <w:spacing w:before="34"/>
              <w:ind w:left="24"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计算公式</w:t>
            </w:r>
          </w:p>
        </w:tc>
        <w:tc>
          <w:tcPr>
            <w:tcW w:w="1330" w:type="dxa"/>
            <w:noWrap w:val="0"/>
            <w:vAlign w:val="top"/>
          </w:tcPr>
          <w:p>
            <w:pPr>
              <w:pStyle w:val="204"/>
              <w:spacing w:before="34"/>
              <w:ind w:left="86" w:right="5"/>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费用（万元）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2480" w:type="dxa"/>
            <w:gridSpan w:val="2"/>
            <w:noWrap w:val="0"/>
            <w:vAlign w:val="top"/>
          </w:tcPr>
          <w:p>
            <w:pPr>
              <w:pStyle w:val="204"/>
              <w:spacing w:before="33"/>
              <w:ind w:left="350"/>
              <w:jc w:val="left"/>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第四部分 独立费用</w:t>
            </w:r>
          </w:p>
        </w:tc>
        <w:tc>
          <w:tcPr>
            <w:tcW w:w="5195" w:type="dxa"/>
            <w:noWrap w:val="0"/>
            <w:vAlign w:val="top"/>
          </w:tcPr>
          <w:p>
            <w:pPr>
              <w:pStyle w:val="204"/>
              <w:jc w:val="left"/>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top"/>
          </w:tcPr>
          <w:p>
            <w:pPr>
              <w:pStyle w:val="204"/>
              <w:spacing w:before="48"/>
              <w:ind w:left="12"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25.65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top"/>
          </w:tcPr>
          <w:p>
            <w:pPr>
              <w:pStyle w:val="204"/>
              <w:spacing w:before="34"/>
              <w:ind w:left="21"/>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一</w:t>
            </w:r>
          </w:p>
        </w:tc>
        <w:tc>
          <w:tcPr>
            <w:tcW w:w="1701" w:type="dxa"/>
            <w:noWrap w:val="0"/>
            <w:vAlign w:val="top"/>
          </w:tcPr>
          <w:p>
            <w:pPr>
              <w:pStyle w:val="204"/>
              <w:spacing w:before="34"/>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建设管理费</w:t>
            </w:r>
          </w:p>
        </w:tc>
        <w:tc>
          <w:tcPr>
            <w:tcW w:w="5195" w:type="dxa"/>
            <w:noWrap w:val="0"/>
            <w:vAlign w:val="top"/>
          </w:tcPr>
          <w:p>
            <w:pPr>
              <w:pStyle w:val="204"/>
              <w:spacing w:before="34"/>
              <w:ind w:left="25"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w:t>
            </w:r>
            <w:r>
              <w:rPr>
                <w:rFonts w:hint="eastAsia" w:hAnsi="宋体" w:cs="仿宋_GB2312"/>
                <w:i w:val="0"/>
                <w:color w:val="000000"/>
                <w:kern w:val="0"/>
                <w:sz w:val="21"/>
                <w:szCs w:val="21"/>
                <w:u w:val="none"/>
                <w:lang w:val="en-US" w:eastAsia="zh-CN" w:bidi="ar"/>
              </w:rPr>
              <w:t>137</w:t>
            </w:r>
            <w:r>
              <w:rPr>
                <w:rFonts w:hint="eastAsia" w:ascii="仿宋_GB2312" w:hAnsi="宋体" w:eastAsia="仿宋_GB2312" w:cs="仿宋_GB2312"/>
                <w:i w:val="0"/>
                <w:color w:val="000000"/>
                <w:kern w:val="0"/>
                <w:sz w:val="21"/>
                <w:szCs w:val="21"/>
                <w:u w:val="none"/>
                <w:lang w:val="en-US" w:eastAsia="zh-CN" w:bidi="ar"/>
              </w:rPr>
              <w:t>+</w:t>
            </w:r>
            <w:r>
              <w:rPr>
                <w:rFonts w:hint="eastAsia" w:hAnsi="宋体" w:cs="仿宋_GB2312"/>
                <w:i w:val="0"/>
                <w:color w:val="000000"/>
                <w:kern w:val="0"/>
                <w:sz w:val="21"/>
                <w:szCs w:val="21"/>
                <w:u w:val="none"/>
                <w:lang w:val="en-US" w:eastAsia="zh-CN" w:bidi="ar"/>
              </w:rPr>
              <w:t>2.66</w:t>
            </w:r>
            <w:r>
              <w:rPr>
                <w:rFonts w:hint="default" w:ascii="仿宋_GB2312" w:hAnsi="宋体" w:eastAsia="仿宋_GB2312" w:cs="仿宋_GB2312"/>
                <w:i w:val="0"/>
                <w:color w:val="000000"/>
                <w:kern w:val="0"/>
                <w:sz w:val="21"/>
                <w:szCs w:val="21"/>
                <w:u w:val="none"/>
                <w:lang w:val="en-US" w:eastAsia="zh-CN" w:bidi="ar"/>
              </w:rPr>
              <w:t>）×2%</w:t>
            </w:r>
          </w:p>
        </w:tc>
        <w:tc>
          <w:tcPr>
            <w:tcW w:w="1330" w:type="dxa"/>
            <w:noWrap w:val="0"/>
            <w:vAlign w:val="top"/>
          </w:tcPr>
          <w:p>
            <w:pPr>
              <w:pStyle w:val="204"/>
              <w:spacing w:before="48"/>
              <w:ind w:left="10" w:right="5"/>
              <w:rPr>
                <w:rFonts w:hint="default" w:ascii="仿宋_GB2312" w:hAnsi="宋体" w:eastAsia="仿宋_GB2312" w:cs="仿宋_GB2312"/>
                <w:i w:val="0"/>
                <w:color w:val="000000"/>
                <w:kern w:val="0"/>
                <w:sz w:val="21"/>
                <w:szCs w:val="21"/>
                <w:u w:val="none"/>
                <w:lang w:val="en-US" w:eastAsia="zh-CN" w:bidi="ar"/>
              </w:rPr>
            </w:pPr>
            <w:r>
              <w:rPr>
                <w:rFonts w:hint="eastAsia" w:hAnsi="宋体" w:cs="仿宋_GB2312"/>
                <w:i w:val="0"/>
                <w:color w:val="000000"/>
                <w:kern w:val="0"/>
                <w:sz w:val="21"/>
                <w:szCs w:val="21"/>
                <w:u w:val="none"/>
                <w:lang w:val="en-US" w:eastAsia="zh-CN" w:bidi="ar"/>
              </w:rPr>
              <w:t>2.79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top"/>
          </w:tcPr>
          <w:p>
            <w:pPr>
              <w:pStyle w:val="204"/>
              <w:spacing w:before="136"/>
              <w:ind w:left="21"/>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二</w:t>
            </w:r>
          </w:p>
        </w:tc>
        <w:tc>
          <w:tcPr>
            <w:tcW w:w="1701" w:type="dxa"/>
            <w:noWrap w:val="0"/>
            <w:vAlign w:val="top"/>
          </w:tcPr>
          <w:p>
            <w:pPr>
              <w:pStyle w:val="204"/>
              <w:spacing w:before="136"/>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水土保持监理费</w:t>
            </w:r>
          </w:p>
        </w:tc>
        <w:tc>
          <w:tcPr>
            <w:tcW w:w="5195" w:type="dxa"/>
            <w:noWrap w:val="0"/>
            <w:vAlign w:val="top"/>
          </w:tcPr>
          <w:p>
            <w:pPr>
              <w:pStyle w:val="204"/>
              <w:ind w:left="26"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根据工程、植物以及临时防护措施的投资，结合市场行</w:t>
            </w:r>
          </w:p>
          <w:p>
            <w:pPr>
              <w:pStyle w:val="204"/>
              <w:spacing w:before="3" w:line="252" w:lineRule="exact"/>
              <w:ind w:left="25"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情确定</w:t>
            </w:r>
          </w:p>
        </w:tc>
        <w:tc>
          <w:tcPr>
            <w:tcW w:w="1330" w:type="dxa"/>
            <w:noWrap w:val="0"/>
            <w:vAlign w:val="top"/>
          </w:tcPr>
          <w:p>
            <w:pPr>
              <w:pStyle w:val="204"/>
              <w:spacing w:before="150"/>
              <w:ind w:left="9" w:right="5"/>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4</w:t>
            </w:r>
            <w:r>
              <w:rPr>
                <w:rFonts w:hint="default" w:ascii="仿宋_GB2312" w:hAnsi="宋体" w:eastAsia="仿宋_GB2312" w:cs="仿宋_GB2312"/>
                <w:i w:val="0"/>
                <w:color w:val="000000"/>
                <w:kern w:val="0"/>
                <w:sz w:val="21"/>
                <w:szCs w:val="21"/>
                <w:u w:val="none"/>
                <w:lang w:val="en-US" w:eastAsia="zh-CN" w:bidi="ar"/>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9" w:type="dxa"/>
            <w:noWrap w:val="0"/>
            <w:vAlign w:val="top"/>
          </w:tcPr>
          <w:p>
            <w:pPr>
              <w:pStyle w:val="204"/>
              <w:spacing w:before="34"/>
              <w:ind w:left="21"/>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三</w:t>
            </w:r>
          </w:p>
        </w:tc>
        <w:tc>
          <w:tcPr>
            <w:tcW w:w="1701" w:type="dxa"/>
            <w:noWrap w:val="0"/>
            <w:vAlign w:val="top"/>
          </w:tcPr>
          <w:p>
            <w:pPr>
              <w:pStyle w:val="204"/>
              <w:spacing w:before="34"/>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勘察设计费</w:t>
            </w:r>
          </w:p>
        </w:tc>
        <w:tc>
          <w:tcPr>
            <w:tcW w:w="5195" w:type="dxa"/>
            <w:noWrap w:val="0"/>
            <w:vAlign w:val="top"/>
          </w:tcPr>
          <w:p>
            <w:pPr>
              <w:pStyle w:val="204"/>
              <w:jc w:val="left"/>
              <w:rPr>
                <w:rFonts w:hint="default" w:ascii="仿宋_GB2312" w:hAnsi="宋体" w:eastAsia="仿宋_GB2312" w:cs="仿宋_GB2312"/>
                <w:i w:val="0"/>
                <w:color w:val="000000"/>
                <w:kern w:val="0"/>
                <w:sz w:val="21"/>
                <w:szCs w:val="21"/>
                <w:u w:val="none"/>
                <w:lang w:val="en-US" w:eastAsia="zh-CN" w:bidi="ar"/>
              </w:rPr>
            </w:pPr>
          </w:p>
        </w:tc>
        <w:tc>
          <w:tcPr>
            <w:tcW w:w="1330" w:type="dxa"/>
            <w:noWrap w:val="0"/>
            <w:vAlign w:val="top"/>
          </w:tcPr>
          <w:p>
            <w:pPr>
              <w:pStyle w:val="204"/>
              <w:spacing w:before="48"/>
              <w:ind w:left="9" w:right="5"/>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4.86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top"/>
          </w:tcPr>
          <w:p>
            <w:pPr>
              <w:pStyle w:val="204"/>
              <w:spacing w:before="150"/>
              <w:ind w:left="14"/>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1</w:t>
            </w:r>
          </w:p>
        </w:tc>
        <w:tc>
          <w:tcPr>
            <w:tcW w:w="1701" w:type="dxa"/>
            <w:noWrap w:val="0"/>
            <w:vAlign w:val="top"/>
          </w:tcPr>
          <w:p>
            <w:pPr>
              <w:pStyle w:val="204"/>
              <w:spacing w:before="136"/>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勘察费</w:t>
            </w:r>
          </w:p>
        </w:tc>
        <w:tc>
          <w:tcPr>
            <w:tcW w:w="5195" w:type="dxa"/>
            <w:noWrap w:val="0"/>
            <w:vAlign w:val="top"/>
          </w:tcPr>
          <w:p>
            <w:pPr>
              <w:pStyle w:val="204"/>
              <w:spacing w:line="269" w:lineRule="exact"/>
              <w:ind w:left="55" w:right="15"/>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9</w:t>
            </w:r>
            <w:r>
              <w:rPr>
                <w:rFonts w:hint="default" w:ascii="仿宋_GB2312" w:hAnsi="宋体" w:eastAsia="仿宋_GB2312" w:cs="仿宋_GB2312"/>
                <w:i w:val="0"/>
                <w:color w:val="000000"/>
                <w:kern w:val="0"/>
                <w:sz w:val="21"/>
                <w:szCs w:val="21"/>
                <w:u w:val="none"/>
                <w:lang w:val="en-US" w:eastAsia="zh-CN" w:bidi="ar"/>
              </w:rPr>
              <w:t>（基价）×0.5（专业调整）×1.0（复杂程度调整）</w:t>
            </w:r>
          </w:p>
          <w:p>
            <w:pPr>
              <w:pStyle w:val="204"/>
              <w:spacing w:before="3" w:line="252" w:lineRule="exact"/>
              <w:ind w:left="25"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×0.</w:t>
            </w:r>
            <w:r>
              <w:rPr>
                <w:rFonts w:hint="eastAsia" w:ascii="仿宋_GB2312" w:hAnsi="宋体" w:eastAsia="仿宋_GB2312" w:cs="仿宋_GB2312"/>
                <w:i w:val="0"/>
                <w:color w:val="000000"/>
                <w:kern w:val="0"/>
                <w:sz w:val="21"/>
                <w:szCs w:val="21"/>
                <w:u w:val="none"/>
                <w:lang w:val="en-US" w:eastAsia="zh-CN" w:bidi="ar"/>
              </w:rPr>
              <w:t>6</w:t>
            </w:r>
            <w:r>
              <w:rPr>
                <w:rFonts w:hint="default" w:ascii="仿宋_GB2312" w:hAnsi="宋体" w:eastAsia="仿宋_GB2312" w:cs="仿宋_GB2312"/>
                <w:i w:val="0"/>
                <w:color w:val="000000"/>
                <w:kern w:val="0"/>
                <w:sz w:val="21"/>
                <w:szCs w:val="21"/>
                <w:u w:val="none"/>
                <w:lang w:val="en-US" w:eastAsia="zh-CN" w:bidi="ar"/>
              </w:rPr>
              <w:t>（附加调整）</w:t>
            </w:r>
          </w:p>
        </w:tc>
        <w:tc>
          <w:tcPr>
            <w:tcW w:w="1330" w:type="dxa"/>
            <w:noWrap w:val="0"/>
            <w:vAlign w:val="top"/>
          </w:tcPr>
          <w:p>
            <w:pPr>
              <w:pStyle w:val="204"/>
              <w:spacing w:before="150"/>
              <w:ind w:left="9" w:right="5"/>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779" w:type="dxa"/>
            <w:noWrap w:val="0"/>
            <w:vAlign w:val="top"/>
          </w:tcPr>
          <w:p>
            <w:pPr>
              <w:pStyle w:val="204"/>
              <w:spacing w:before="150"/>
              <w:ind w:left="14"/>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2</w:t>
            </w:r>
          </w:p>
        </w:tc>
        <w:tc>
          <w:tcPr>
            <w:tcW w:w="1701" w:type="dxa"/>
            <w:noWrap w:val="0"/>
            <w:vAlign w:val="top"/>
          </w:tcPr>
          <w:p>
            <w:pPr>
              <w:pStyle w:val="204"/>
              <w:spacing w:before="136"/>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设计费</w:t>
            </w:r>
          </w:p>
        </w:tc>
        <w:tc>
          <w:tcPr>
            <w:tcW w:w="5195" w:type="dxa"/>
            <w:noWrap w:val="0"/>
            <w:vAlign w:val="top"/>
          </w:tcPr>
          <w:p>
            <w:pPr>
              <w:pStyle w:val="204"/>
              <w:spacing w:before="1"/>
              <w:ind w:left="55" w:right="15"/>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9</w:t>
            </w:r>
            <w:r>
              <w:rPr>
                <w:rFonts w:hint="default" w:ascii="仿宋_GB2312" w:hAnsi="宋体" w:eastAsia="仿宋_GB2312" w:cs="仿宋_GB2312"/>
                <w:i w:val="0"/>
                <w:color w:val="000000"/>
                <w:kern w:val="0"/>
                <w:sz w:val="21"/>
                <w:szCs w:val="21"/>
                <w:u w:val="none"/>
                <w:lang w:val="en-US" w:eastAsia="zh-CN" w:bidi="ar"/>
              </w:rPr>
              <w:t>（基价）×0.8（专业调整）×0.</w:t>
            </w:r>
            <w:r>
              <w:rPr>
                <w:rFonts w:hint="eastAsia" w:ascii="仿宋_GB2312" w:hAnsi="宋体" w:eastAsia="仿宋_GB2312" w:cs="仿宋_GB2312"/>
                <w:i w:val="0"/>
                <w:color w:val="000000"/>
                <w:kern w:val="0"/>
                <w:sz w:val="21"/>
                <w:szCs w:val="21"/>
                <w:u w:val="none"/>
                <w:lang w:val="en-US" w:eastAsia="zh-CN" w:bidi="ar"/>
              </w:rPr>
              <w:t>5</w:t>
            </w:r>
            <w:r>
              <w:rPr>
                <w:rFonts w:hint="default" w:ascii="仿宋_GB2312" w:hAnsi="宋体" w:eastAsia="仿宋_GB2312" w:cs="仿宋_GB2312"/>
                <w:i w:val="0"/>
                <w:color w:val="000000"/>
                <w:kern w:val="0"/>
                <w:sz w:val="21"/>
                <w:szCs w:val="21"/>
                <w:u w:val="none"/>
                <w:lang w:val="en-US" w:eastAsia="zh-CN" w:bidi="ar"/>
              </w:rPr>
              <w:t>（复杂程度调整）</w:t>
            </w:r>
          </w:p>
          <w:p>
            <w:pPr>
              <w:pStyle w:val="204"/>
              <w:spacing w:before="3" w:line="252" w:lineRule="exact"/>
              <w:ind w:left="25"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×0.</w:t>
            </w:r>
            <w:r>
              <w:rPr>
                <w:rFonts w:hint="eastAsia" w:ascii="仿宋_GB2312" w:hAnsi="宋体" w:eastAsia="仿宋_GB2312" w:cs="仿宋_GB2312"/>
                <w:i w:val="0"/>
                <w:color w:val="000000"/>
                <w:kern w:val="0"/>
                <w:sz w:val="21"/>
                <w:szCs w:val="21"/>
                <w:u w:val="none"/>
                <w:lang w:val="en-US" w:eastAsia="zh-CN" w:bidi="ar"/>
              </w:rPr>
              <w:t>6</w:t>
            </w:r>
            <w:r>
              <w:rPr>
                <w:rFonts w:hint="default" w:ascii="仿宋_GB2312" w:hAnsi="宋体" w:eastAsia="仿宋_GB2312" w:cs="仿宋_GB2312"/>
                <w:i w:val="0"/>
                <w:color w:val="000000"/>
                <w:kern w:val="0"/>
                <w:sz w:val="21"/>
                <w:szCs w:val="21"/>
                <w:u w:val="none"/>
                <w:lang w:val="en-US" w:eastAsia="zh-CN" w:bidi="ar"/>
              </w:rPr>
              <w:t>（附加调整）</w:t>
            </w:r>
          </w:p>
        </w:tc>
        <w:tc>
          <w:tcPr>
            <w:tcW w:w="1330" w:type="dxa"/>
            <w:noWrap w:val="0"/>
            <w:vAlign w:val="top"/>
          </w:tcPr>
          <w:p>
            <w:pPr>
              <w:pStyle w:val="204"/>
              <w:spacing w:before="150"/>
              <w:ind w:left="9" w:right="5"/>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2.16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top"/>
          </w:tcPr>
          <w:p>
            <w:pPr>
              <w:pStyle w:val="204"/>
              <w:spacing w:before="135"/>
              <w:ind w:left="21"/>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四</w:t>
            </w:r>
          </w:p>
        </w:tc>
        <w:tc>
          <w:tcPr>
            <w:tcW w:w="1701" w:type="dxa"/>
            <w:noWrap w:val="0"/>
            <w:vAlign w:val="top"/>
          </w:tcPr>
          <w:p>
            <w:pPr>
              <w:pStyle w:val="204"/>
              <w:spacing w:before="135"/>
              <w:ind w:left="94" w:right="86"/>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水土保持监测费</w:t>
            </w:r>
          </w:p>
        </w:tc>
        <w:tc>
          <w:tcPr>
            <w:tcW w:w="5195" w:type="dxa"/>
            <w:noWrap w:val="0"/>
            <w:vAlign w:val="top"/>
          </w:tcPr>
          <w:p>
            <w:pPr>
              <w:pStyle w:val="204"/>
              <w:spacing w:line="269" w:lineRule="exact"/>
              <w:ind w:left="25" w:right="20"/>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考虑投入</w:t>
            </w:r>
            <w:r>
              <w:rPr>
                <w:rFonts w:hint="eastAsia" w:ascii="仿宋_GB2312" w:hAnsi="宋体" w:eastAsia="仿宋_GB2312" w:cs="仿宋_GB2312"/>
                <w:i w:val="0"/>
                <w:color w:val="000000"/>
                <w:kern w:val="0"/>
                <w:sz w:val="21"/>
                <w:szCs w:val="21"/>
                <w:u w:val="none"/>
                <w:lang w:val="en-US" w:eastAsia="zh-CN" w:bidi="ar"/>
              </w:rPr>
              <w:t>技术人员</w:t>
            </w:r>
            <w:r>
              <w:rPr>
                <w:rFonts w:hint="default" w:ascii="仿宋_GB2312" w:hAnsi="宋体" w:eastAsia="仿宋_GB2312" w:cs="仿宋_GB2312"/>
                <w:i w:val="0"/>
                <w:color w:val="000000"/>
                <w:kern w:val="0"/>
                <w:sz w:val="21"/>
                <w:szCs w:val="21"/>
                <w:u w:val="none"/>
                <w:lang w:val="en-US" w:eastAsia="zh-CN" w:bidi="ar"/>
              </w:rPr>
              <w:t xml:space="preserve"> </w:t>
            </w:r>
            <w:r>
              <w:rPr>
                <w:rFonts w:hint="eastAsia" w:ascii="仿宋_GB2312" w:hAnsi="宋体" w:eastAsia="仿宋_GB2312" w:cs="仿宋_GB2312"/>
                <w:i w:val="0"/>
                <w:color w:val="000000"/>
                <w:kern w:val="0"/>
                <w:sz w:val="21"/>
                <w:szCs w:val="21"/>
                <w:u w:val="none"/>
                <w:lang w:val="en-US" w:eastAsia="zh-CN" w:bidi="ar"/>
              </w:rPr>
              <w:t>2</w:t>
            </w:r>
            <w:r>
              <w:rPr>
                <w:rFonts w:hint="default" w:ascii="仿宋_GB2312" w:hAnsi="宋体" w:eastAsia="仿宋_GB2312" w:cs="仿宋_GB2312"/>
                <w:i w:val="0"/>
                <w:color w:val="000000"/>
                <w:kern w:val="0"/>
                <w:sz w:val="21"/>
                <w:szCs w:val="21"/>
                <w:u w:val="none"/>
                <w:lang w:val="en-US" w:eastAsia="zh-CN" w:bidi="ar"/>
              </w:rPr>
              <w:t xml:space="preserve"> 名（</w:t>
            </w:r>
            <w:r>
              <w:rPr>
                <w:rFonts w:hint="eastAsia" w:ascii="仿宋_GB2312" w:hAnsi="宋体" w:eastAsia="仿宋_GB2312" w:cs="仿宋_GB2312"/>
                <w:i w:val="0"/>
                <w:color w:val="000000"/>
                <w:kern w:val="0"/>
                <w:sz w:val="21"/>
                <w:szCs w:val="21"/>
                <w:u w:val="none"/>
                <w:lang w:val="en-US" w:eastAsia="zh-CN" w:bidi="ar"/>
              </w:rPr>
              <w:t>2</w:t>
            </w:r>
            <w:r>
              <w:rPr>
                <w:rFonts w:hint="default" w:ascii="仿宋_GB2312" w:hAnsi="宋体" w:eastAsia="仿宋_GB2312" w:cs="仿宋_GB2312"/>
                <w:i w:val="0"/>
                <w:color w:val="000000"/>
                <w:kern w:val="0"/>
                <w:sz w:val="21"/>
                <w:szCs w:val="21"/>
                <w:u w:val="none"/>
                <w:lang w:val="en-US" w:eastAsia="zh-CN" w:bidi="ar"/>
              </w:rPr>
              <w:t xml:space="preserve"> 万元/人</w:t>
            </w:r>
            <w:r>
              <w:rPr>
                <w:rFonts w:hint="eastAsia" w:ascii="仿宋_GB2312" w:hAnsi="宋体" w:eastAsia="仿宋_GB2312" w:cs="仿宋_GB2312"/>
                <w:i w:val="0"/>
                <w:color w:val="000000"/>
                <w:kern w:val="0"/>
                <w:sz w:val="21"/>
                <w:szCs w:val="21"/>
                <w:u w:val="none"/>
                <w:lang w:val="en-US" w:eastAsia="zh-CN" w:bidi="ar"/>
              </w:rPr>
              <w:t>/年</w:t>
            </w:r>
            <w:r>
              <w:rPr>
                <w:rFonts w:hint="default" w:ascii="仿宋_GB2312" w:hAnsi="宋体" w:eastAsia="仿宋_GB2312" w:cs="仿宋_GB2312"/>
                <w:i w:val="0"/>
                <w:color w:val="000000"/>
                <w:kern w:val="0"/>
                <w:sz w:val="21"/>
                <w:szCs w:val="21"/>
                <w:u w:val="none"/>
                <w:lang w:val="en-US" w:eastAsia="zh-CN" w:bidi="ar"/>
              </w:rPr>
              <w:t xml:space="preserve">），材料损耗费 </w:t>
            </w:r>
            <w:r>
              <w:rPr>
                <w:rFonts w:hint="eastAsia" w:ascii="仿宋_GB2312" w:hAnsi="宋体" w:eastAsia="仿宋_GB2312" w:cs="仿宋_GB2312"/>
                <w:i w:val="0"/>
                <w:color w:val="000000"/>
                <w:kern w:val="0"/>
                <w:sz w:val="21"/>
                <w:szCs w:val="21"/>
                <w:u w:val="none"/>
                <w:lang w:val="en-US" w:eastAsia="zh-CN" w:bidi="ar"/>
              </w:rPr>
              <w:t>0.5</w:t>
            </w:r>
            <w:r>
              <w:rPr>
                <w:rFonts w:hint="default" w:ascii="仿宋_GB2312" w:hAnsi="宋体" w:eastAsia="仿宋_GB2312" w:cs="仿宋_GB2312"/>
                <w:i w:val="0"/>
                <w:color w:val="000000"/>
                <w:kern w:val="0"/>
                <w:sz w:val="21"/>
                <w:szCs w:val="21"/>
                <w:u w:val="none"/>
                <w:lang w:val="en-US" w:eastAsia="zh-CN" w:bidi="ar"/>
              </w:rPr>
              <w:t xml:space="preserve">万元，设备折旧费 </w:t>
            </w:r>
            <w:r>
              <w:rPr>
                <w:rFonts w:hint="eastAsia" w:ascii="仿宋_GB2312" w:hAnsi="宋体" w:eastAsia="仿宋_GB2312" w:cs="仿宋_GB2312"/>
                <w:i w:val="0"/>
                <w:color w:val="000000"/>
                <w:kern w:val="0"/>
                <w:sz w:val="21"/>
                <w:szCs w:val="21"/>
                <w:u w:val="none"/>
                <w:lang w:val="en-US" w:eastAsia="zh-CN" w:bidi="ar"/>
              </w:rPr>
              <w:t>0</w:t>
            </w:r>
            <w:r>
              <w:rPr>
                <w:rFonts w:hint="default" w:ascii="仿宋_GB2312" w:hAnsi="宋体" w:eastAsia="仿宋_GB2312" w:cs="仿宋_GB2312"/>
                <w:i w:val="0"/>
                <w:color w:val="000000"/>
                <w:kern w:val="0"/>
                <w:sz w:val="21"/>
                <w:szCs w:val="21"/>
                <w:u w:val="none"/>
                <w:lang w:val="en-US" w:eastAsia="zh-CN" w:bidi="ar"/>
              </w:rPr>
              <w:t xml:space="preserve">.5 万元，共计 </w:t>
            </w:r>
            <w:r>
              <w:rPr>
                <w:rFonts w:hint="eastAsia" w:ascii="仿宋_GB2312" w:hAnsi="宋体" w:eastAsia="仿宋_GB2312" w:cs="仿宋_GB2312"/>
                <w:i w:val="0"/>
                <w:color w:val="000000"/>
                <w:kern w:val="0"/>
                <w:sz w:val="21"/>
                <w:szCs w:val="21"/>
                <w:u w:val="none"/>
                <w:lang w:val="en-US" w:eastAsia="zh-CN" w:bidi="ar"/>
              </w:rPr>
              <w:t>5.00</w:t>
            </w:r>
            <w:r>
              <w:rPr>
                <w:rFonts w:hint="default" w:ascii="仿宋_GB2312" w:hAnsi="宋体" w:eastAsia="仿宋_GB2312" w:cs="仿宋_GB2312"/>
                <w:i w:val="0"/>
                <w:color w:val="000000"/>
                <w:kern w:val="0"/>
                <w:sz w:val="21"/>
                <w:szCs w:val="21"/>
                <w:u w:val="none"/>
                <w:lang w:val="en-US" w:eastAsia="zh-CN" w:bidi="ar"/>
              </w:rPr>
              <w:t>万元。</w:t>
            </w:r>
          </w:p>
        </w:tc>
        <w:tc>
          <w:tcPr>
            <w:tcW w:w="1330" w:type="dxa"/>
            <w:noWrap w:val="0"/>
            <w:vAlign w:val="top"/>
          </w:tcPr>
          <w:p>
            <w:pPr>
              <w:pStyle w:val="204"/>
              <w:spacing w:before="149"/>
              <w:ind w:left="9" w:right="5"/>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5.0</w:t>
            </w:r>
            <w:r>
              <w:rPr>
                <w:rFonts w:hint="default" w:ascii="仿宋_GB2312" w:hAnsi="宋体" w:eastAsia="仿宋_GB2312" w:cs="仿宋_GB2312"/>
                <w:i w:val="0"/>
                <w:color w:val="000000"/>
                <w:kern w:val="0"/>
                <w:sz w:val="21"/>
                <w:szCs w:val="21"/>
                <w:u w:val="none"/>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779" w:type="dxa"/>
            <w:noWrap w:val="0"/>
            <w:vAlign w:val="top"/>
          </w:tcPr>
          <w:p>
            <w:pPr>
              <w:pStyle w:val="204"/>
              <w:spacing w:before="135"/>
              <w:ind w:left="21"/>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五</w:t>
            </w:r>
          </w:p>
        </w:tc>
        <w:tc>
          <w:tcPr>
            <w:tcW w:w="1701" w:type="dxa"/>
            <w:noWrap w:val="0"/>
            <w:vAlign w:val="top"/>
          </w:tcPr>
          <w:p>
            <w:pPr>
              <w:pStyle w:val="204"/>
              <w:spacing w:before="135"/>
              <w:ind w:left="94" w:right="86"/>
              <w:rPr>
                <w:rFonts w:hint="default"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水土保持设施验收技术评估费</w:t>
            </w:r>
          </w:p>
        </w:tc>
        <w:tc>
          <w:tcPr>
            <w:tcW w:w="5195" w:type="dxa"/>
            <w:noWrap w:val="0"/>
            <w:vAlign w:val="center"/>
          </w:tcPr>
          <w:p>
            <w:pPr>
              <w:pStyle w:val="204"/>
              <w:ind w:left="26" w:right="20"/>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根据工程、植物以及临时防护措施的投资，结合市场行</w:t>
            </w:r>
          </w:p>
          <w:p>
            <w:pPr>
              <w:pStyle w:val="204"/>
              <w:spacing w:line="269" w:lineRule="exact"/>
              <w:ind w:left="25" w:right="20"/>
              <w:jc w:val="center"/>
              <w:rPr>
                <w:rFonts w:hint="default" w:ascii="仿宋_GB2312" w:hAnsi="宋体" w:eastAsia="仿宋_GB2312" w:cs="仿宋_GB2312"/>
                <w:i w:val="0"/>
                <w:color w:val="000000"/>
                <w:kern w:val="0"/>
                <w:sz w:val="21"/>
                <w:szCs w:val="21"/>
                <w:u w:val="none"/>
                <w:lang w:val="en-US" w:eastAsia="zh-CN" w:bidi="ar"/>
              </w:rPr>
            </w:pPr>
            <w:r>
              <w:rPr>
                <w:rFonts w:hint="default" w:ascii="仿宋_GB2312" w:hAnsi="宋体" w:eastAsia="仿宋_GB2312" w:cs="仿宋_GB2312"/>
                <w:i w:val="0"/>
                <w:color w:val="000000"/>
                <w:kern w:val="0"/>
                <w:sz w:val="21"/>
                <w:szCs w:val="21"/>
                <w:u w:val="none"/>
                <w:lang w:val="en-US" w:eastAsia="zh-CN" w:bidi="ar"/>
              </w:rPr>
              <w:t>情确定</w:t>
            </w:r>
          </w:p>
        </w:tc>
        <w:tc>
          <w:tcPr>
            <w:tcW w:w="1330" w:type="dxa"/>
            <w:noWrap w:val="0"/>
            <w:vAlign w:val="top"/>
          </w:tcPr>
          <w:p>
            <w:pPr>
              <w:pStyle w:val="204"/>
              <w:spacing w:before="149"/>
              <w:ind w:left="9" w:right="5"/>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9.00</w:t>
            </w:r>
          </w:p>
        </w:tc>
      </w:tr>
    </w:tbl>
    <w:p>
      <w:pPr>
        <w:pStyle w:val="4"/>
        <w:spacing w:before="120" w:after="120" w:line="360" w:lineRule="auto"/>
        <w:ind w:firstLine="0"/>
        <w:rPr>
          <w:rFonts w:ascii="Times New Roman" w:hAnsi="Times New Roman" w:eastAsia="仿宋_GB2312" w:cs="Times New Roman"/>
          <w:b/>
          <w:bCs/>
          <w:sz w:val="32"/>
          <w:szCs w:val="32"/>
        </w:rPr>
      </w:pPr>
      <w:bookmarkStart w:id="123" w:name="_Toc2438"/>
      <w:bookmarkStart w:id="124" w:name="_Toc2909"/>
      <w:r>
        <w:rPr>
          <w:rFonts w:ascii="Times New Roman" w:hAnsi="Times New Roman" w:eastAsia="仿宋_GB2312" w:cs="Times New Roman"/>
          <w:b/>
          <w:bCs/>
          <w:sz w:val="32"/>
          <w:szCs w:val="32"/>
        </w:rPr>
        <w:t>7.2效益分析</w:t>
      </w:r>
      <w:bookmarkEnd w:id="123"/>
      <w:bookmarkEnd w:id="124"/>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7.2.1效益分析的原则和方法</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主要分析和预测方案实施后，控制水土流失、恢复和改善生态环境、保障项目设施安全、促进地区经济发展等方面的环境效益和社会效益。用定性和定量相结合的方法进行分析。</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7.2.2效益分析</w:t>
      </w:r>
    </w:p>
    <w:p>
      <w:pPr>
        <w:spacing w:line="360" w:lineRule="auto"/>
        <w:ind w:firstLine="480" w:firstLineChars="200"/>
        <w:rPr>
          <w:rFonts w:ascii="Times New Roman" w:hAnsi="Times New Roman" w:eastAsia="仿宋_GB2312"/>
          <w:sz w:val="24"/>
        </w:rPr>
      </w:pPr>
      <w:r>
        <w:rPr>
          <w:rFonts w:ascii="Times New Roman" w:hAnsi="Times New Roman" w:eastAsia="仿宋_GB2312"/>
          <w:sz w:val="24"/>
        </w:rPr>
        <w:t>在工程施工建设期实施的水土保持工程措施及植物措施目的是控制工程建设造成的新增水土流失，防治扰动面的土壤大量流失，维护工程的安全运行，绿化、美化环境，恢复改善工程占地区因占压、挖损、扰动破坏的土地及植被资源，其效益主要体现在基础效益、生态效益和社会效益上。</w:t>
      </w:r>
    </w:p>
    <w:p>
      <w:pPr>
        <w:spacing w:line="360" w:lineRule="auto"/>
        <w:ind w:firstLine="480" w:firstLineChars="200"/>
        <w:rPr>
          <w:rFonts w:hint="default" w:ascii="Times New Roman" w:hAnsi="Times New Roman" w:eastAsia="仿宋_GB2312"/>
          <w:sz w:val="24"/>
          <w:lang w:val="en-US" w:eastAsia="zh-CN"/>
        </w:rPr>
      </w:pPr>
      <w:r>
        <w:rPr>
          <w:rFonts w:hint="default" w:ascii="Times New Roman" w:hAnsi="Times New Roman" w:eastAsia="仿宋_GB2312"/>
          <w:sz w:val="24"/>
          <w:lang w:val="en-US" w:eastAsia="zh-CN"/>
        </w:rPr>
        <w:t>1</w:t>
      </w:r>
      <w:r>
        <w:rPr>
          <w:rFonts w:hint="eastAsia" w:ascii="Times New Roman" w:hAnsi="Times New Roman" w:eastAsia="仿宋_GB2312"/>
          <w:sz w:val="24"/>
          <w:lang w:val="en-US" w:eastAsia="zh-CN"/>
        </w:rPr>
        <w:t>）</w:t>
      </w:r>
      <w:r>
        <w:rPr>
          <w:rFonts w:hint="default" w:ascii="Times New Roman" w:hAnsi="Times New Roman" w:eastAsia="仿宋_GB2312"/>
          <w:sz w:val="24"/>
          <w:lang w:val="en-US" w:eastAsia="zh-CN"/>
        </w:rPr>
        <w:t>水土流失治理度</w:t>
      </w:r>
    </w:p>
    <w:p>
      <w:pPr>
        <w:spacing w:line="360" w:lineRule="auto"/>
        <w:ind w:firstLine="480" w:firstLineChars="200"/>
        <w:rPr>
          <w:rFonts w:hint="default" w:ascii="Times New Roman" w:hAnsi="Times New Roman" w:eastAsia="仿宋_GB2312"/>
          <w:sz w:val="24"/>
          <w:lang w:val="en-US" w:eastAsia="zh-CN"/>
        </w:rPr>
      </w:pPr>
      <w:r>
        <w:rPr>
          <w:rFonts w:hint="default" w:ascii="Times New Roman" w:hAnsi="Times New Roman" w:eastAsia="仿宋_GB2312"/>
          <w:sz w:val="24"/>
          <w:lang w:val="en-US" w:eastAsia="zh-CN"/>
        </w:rPr>
        <w:t>水土流失总治理度（%）=水土保持措施面积/建设区水土流失总面积×100%</w:t>
      </w:r>
    </w:p>
    <w:p>
      <w:pPr>
        <w:spacing w:line="360" w:lineRule="auto"/>
        <w:ind w:firstLine="480" w:firstLineChars="200"/>
        <w:rPr>
          <w:rFonts w:hint="default" w:ascii="Times New Roman" w:hAnsi="Times New Roman" w:eastAsia="仿宋_GB2312"/>
          <w:sz w:val="24"/>
          <w:lang w:val="en-US" w:eastAsia="zh-CN"/>
        </w:rPr>
      </w:pPr>
      <w:r>
        <w:rPr>
          <w:rFonts w:hint="default" w:ascii="Times New Roman" w:hAnsi="Times New Roman" w:eastAsia="仿宋_GB2312"/>
          <w:sz w:val="24"/>
          <w:lang w:val="en-US" w:eastAsia="zh-CN"/>
        </w:rPr>
        <w:t>根据建设期间采取的防治措施，本工程水土流失治理度达9</w:t>
      </w:r>
      <w:r>
        <w:rPr>
          <w:rFonts w:hint="eastAsia" w:ascii="Times New Roman" w:hAnsi="Times New Roman" w:eastAsia="仿宋_GB2312"/>
          <w:sz w:val="24"/>
          <w:lang w:val="en-US" w:eastAsia="zh-CN"/>
        </w:rPr>
        <w:t>8.86</w:t>
      </w:r>
      <w:r>
        <w:rPr>
          <w:rFonts w:hint="default" w:ascii="Times New Roman" w:hAnsi="Times New Roman" w:eastAsia="仿宋_GB2312"/>
          <w:sz w:val="24"/>
          <w:lang w:val="en-US" w:eastAsia="zh-CN"/>
        </w:rPr>
        <w:t>%。</w:t>
      </w:r>
    </w:p>
    <w:p>
      <w:pPr>
        <w:snapToGrid w:val="0"/>
        <w:spacing w:before="156" w:beforeLines="50"/>
        <w:jc w:val="right"/>
        <w:rPr>
          <w:rFonts w:ascii="Times New Roman" w:hAnsi="Times New Roman" w:eastAsia="仿宋_GB2312"/>
          <w:b/>
          <w:sz w:val="24"/>
        </w:rPr>
      </w:pPr>
      <w:r>
        <w:rPr>
          <w:rFonts w:ascii="Times New Roman" w:hAnsi="Times New Roman" w:eastAsia="仿宋_GB2312"/>
          <w:b/>
          <w:bCs/>
          <w:sz w:val="24"/>
        </w:rPr>
        <w:t>表</w:t>
      </w:r>
      <w:r>
        <w:rPr>
          <w:rFonts w:hint="eastAsia" w:ascii="Times New Roman" w:hAnsi="Times New Roman" w:eastAsia="仿宋_GB2312"/>
          <w:b/>
          <w:bCs/>
          <w:sz w:val="24"/>
          <w:lang w:val="en-US" w:eastAsia="zh-CN"/>
        </w:rPr>
        <w:t>8-5</w:t>
      </w:r>
      <w:r>
        <w:rPr>
          <w:rFonts w:ascii="Times New Roman" w:hAnsi="Times New Roman" w:eastAsia="仿宋_GB2312"/>
          <w:b/>
          <w:bCs/>
          <w:sz w:val="24"/>
        </w:rPr>
        <w:t xml:space="preserve">  工程建设期水土保持措施防治总面积</w:t>
      </w:r>
      <w:r>
        <w:rPr>
          <w:rFonts w:ascii="Times New Roman" w:hAnsi="Times New Roman" w:eastAsia="仿宋_GB2312"/>
          <w:b/>
          <w:sz w:val="24"/>
        </w:rPr>
        <w:t xml:space="preserve">          单位：hm</w:t>
      </w:r>
      <w:r>
        <w:rPr>
          <w:rFonts w:ascii="Times New Roman" w:hAnsi="Times New Roman" w:eastAsia="仿宋_GB2312"/>
          <w:b/>
          <w:sz w:val="24"/>
          <w:vertAlign w:val="superscript"/>
        </w:rPr>
        <w:t>2</w:t>
      </w:r>
    </w:p>
    <w:tbl>
      <w:tblPr>
        <w:tblStyle w:val="24"/>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2058"/>
        <w:gridCol w:w="1295"/>
        <w:gridCol w:w="1295"/>
        <w:gridCol w:w="1295"/>
        <w:gridCol w:w="1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序号</w:t>
            </w:r>
          </w:p>
        </w:tc>
        <w:tc>
          <w:tcPr>
            <w:tcW w:w="2058"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项目区</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扰动面积</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林草措施</w:t>
            </w:r>
          </w:p>
        </w:tc>
        <w:tc>
          <w:tcPr>
            <w:tcW w:w="1295"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工程措施</w:t>
            </w:r>
          </w:p>
        </w:tc>
        <w:tc>
          <w:tcPr>
            <w:tcW w:w="1801" w:type="dxa"/>
            <w:noWrap w:val="0"/>
            <w:vAlign w:val="center"/>
          </w:tcPr>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建（构）筑物</w:t>
            </w:r>
          </w:p>
          <w:p>
            <w:pPr>
              <w:widowControl/>
              <w:spacing w:line="240" w:lineRule="exact"/>
              <w:jc w:val="center"/>
              <w:rPr>
                <w:rFonts w:ascii="Times New Roman" w:hAnsi="Times New Roman" w:eastAsia="仿宋_GB2312"/>
                <w:b/>
                <w:kern w:val="0"/>
                <w:sz w:val="20"/>
                <w:szCs w:val="20"/>
              </w:rPr>
            </w:pPr>
            <w:r>
              <w:rPr>
                <w:rFonts w:ascii="Times New Roman" w:hAnsi="Times New Roman" w:eastAsia="仿宋_GB2312"/>
                <w:b/>
                <w:kern w:val="0"/>
                <w:sz w:val="20"/>
                <w:szCs w:val="20"/>
              </w:rPr>
              <w:t>及铺装面积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ascii="Times New Roman" w:hAnsi="Times New Roman" w:eastAsia="仿宋_GB2312"/>
                <w:sz w:val="20"/>
                <w:szCs w:val="20"/>
              </w:rPr>
            </w:pPr>
            <w:r>
              <w:rPr>
                <w:rFonts w:ascii="Times New Roman" w:hAnsi="Times New Roman" w:eastAsia="仿宋_GB2312"/>
                <w:sz w:val="20"/>
                <w:szCs w:val="20"/>
              </w:rPr>
              <w:t>1</w:t>
            </w:r>
          </w:p>
        </w:tc>
        <w:tc>
          <w:tcPr>
            <w:tcW w:w="2058" w:type="dxa"/>
            <w:noWrap w:val="0"/>
            <w:vAlign w:val="center"/>
          </w:tcPr>
          <w:p>
            <w:pPr>
              <w:jc w:val="center"/>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采场</w:t>
            </w:r>
          </w:p>
        </w:tc>
        <w:tc>
          <w:tcPr>
            <w:tcW w:w="1295" w:type="dxa"/>
            <w:noWrap w:val="0"/>
            <w:vAlign w:val="center"/>
          </w:tcPr>
          <w:p>
            <w:pPr>
              <w:keepNext w:val="0"/>
              <w:keepLines w:val="0"/>
              <w:widowControl/>
              <w:suppressLineNumbers w:val="0"/>
              <w:jc w:val="center"/>
              <w:textAlignment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2.32</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2.26</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0.05</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ascii="Times New Roman" w:hAnsi="Times New Roman" w:eastAsia="仿宋_GB2312"/>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hint="eastAsia" w:ascii="Times New Roman" w:hAnsi="Times New Roman" w:eastAsia="仿宋_GB2312"/>
                <w:sz w:val="20"/>
                <w:szCs w:val="20"/>
                <w:lang w:val="en-US" w:eastAsia="zh-CN"/>
              </w:rPr>
            </w:pPr>
            <w:r>
              <w:rPr>
                <w:rFonts w:hint="eastAsia" w:eastAsia="仿宋_GB2312"/>
                <w:sz w:val="20"/>
                <w:szCs w:val="20"/>
                <w:lang w:val="en-US" w:eastAsia="zh-CN"/>
              </w:rPr>
              <w:t>2</w:t>
            </w:r>
          </w:p>
        </w:tc>
        <w:tc>
          <w:tcPr>
            <w:tcW w:w="2058" w:type="dxa"/>
            <w:noWrap w:val="0"/>
            <w:vAlign w:val="center"/>
          </w:tcPr>
          <w:p>
            <w:pPr>
              <w:jc w:val="center"/>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加工场地</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ascii="Times New Roman" w:hAnsi="Times New Roman" w:eastAsia="宋体" w:cs="Times New Roman"/>
                <w:i w:val="0"/>
                <w:color w:val="000000"/>
                <w:kern w:val="0"/>
                <w:sz w:val="21"/>
                <w:szCs w:val="21"/>
                <w:u w:val="none"/>
                <w:lang w:val="en-US" w:eastAsia="zh-CN" w:bidi="ar"/>
              </w:rPr>
              <w:t>0.</w:t>
            </w:r>
            <w:r>
              <w:rPr>
                <w:rFonts w:hint="eastAsia" w:eastAsia="宋体" w:cs="Times New Roman"/>
                <w:i w:val="0"/>
                <w:color w:val="000000"/>
                <w:kern w:val="0"/>
                <w:sz w:val="21"/>
                <w:szCs w:val="21"/>
                <w:u w:val="none"/>
                <w:lang w:val="en-US" w:eastAsia="zh-CN" w:bidi="ar"/>
              </w:rPr>
              <w:t>36</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ascii="Times New Roman" w:hAnsi="Times New Roman" w:eastAsia="仿宋_GB2312"/>
                <w:sz w:val="20"/>
                <w:szCs w:val="20"/>
                <w:lang w:val="en-US" w:eastAsia="zh-CN"/>
              </w:rPr>
              <w:t>0</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ascii="Times New Roman" w:hAnsi="Times New Roman" w:eastAsia="仿宋_GB2312"/>
                <w:sz w:val="20"/>
                <w:szCs w:val="20"/>
                <w:lang w:val="en-US" w:eastAsia="zh-CN"/>
              </w:rPr>
              <w:t>0.01</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ascii="Times New Roman" w:hAnsi="Times New Roman" w:eastAsia="仿宋_GB2312"/>
                <w:sz w:val="20"/>
                <w:szCs w:val="20"/>
                <w:lang w:val="en-US" w:eastAsia="zh-CN"/>
              </w:rPr>
              <w:t>0.</w:t>
            </w:r>
            <w:r>
              <w:rPr>
                <w:rFonts w:hint="eastAsia" w:eastAsia="仿宋_GB2312"/>
                <w:sz w:val="20"/>
                <w:szCs w:val="20"/>
                <w:lang w:val="en-US" w:eastAsia="zh-CN"/>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hint="eastAsia" w:ascii="Times New Roman" w:hAnsi="Times New Roman" w:eastAsia="仿宋_GB2312"/>
                <w:sz w:val="20"/>
                <w:szCs w:val="20"/>
                <w:lang w:val="en-US" w:eastAsia="zh-CN"/>
              </w:rPr>
            </w:pPr>
            <w:r>
              <w:rPr>
                <w:rFonts w:hint="eastAsia" w:eastAsia="仿宋_GB2312"/>
                <w:sz w:val="20"/>
                <w:szCs w:val="20"/>
                <w:lang w:val="en-US" w:eastAsia="zh-CN"/>
              </w:rPr>
              <w:t>3</w:t>
            </w:r>
          </w:p>
        </w:tc>
        <w:tc>
          <w:tcPr>
            <w:tcW w:w="2058" w:type="dxa"/>
            <w:noWrap w:val="0"/>
            <w:vAlign w:val="center"/>
          </w:tcPr>
          <w:p>
            <w:pPr>
              <w:jc w:val="center"/>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场地道路</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ascii="Times New Roman" w:hAnsi="Times New Roman" w:eastAsia="宋体" w:cs="Times New Roman"/>
                <w:i w:val="0"/>
                <w:color w:val="000000"/>
                <w:sz w:val="22"/>
                <w:szCs w:val="22"/>
                <w:u w:val="none"/>
                <w:lang w:val="en-US" w:eastAsia="zh-CN"/>
              </w:rPr>
              <w:t>0.</w:t>
            </w:r>
            <w:r>
              <w:rPr>
                <w:rFonts w:hint="eastAsia" w:eastAsia="宋体" w:cs="Times New Roman"/>
                <w:i w:val="0"/>
                <w:color w:val="000000"/>
                <w:sz w:val="22"/>
                <w:szCs w:val="22"/>
                <w:u w:val="none"/>
                <w:lang w:val="en-US" w:eastAsia="zh-CN"/>
              </w:rPr>
              <w:t>82</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ascii="Times New Roman" w:hAnsi="Times New Roman" w:eastAsia="仿宋_GB2312"/>
                <w:sz w:val="20"/>
                <w:szCs w:val="20"/>
                <w:lang w:val="en-US" w:eastAsia="zh-CN"/>
              </w:rPr>
              <w:t>0</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ascii="Times New Roman" w:hAnsi="Times New Roman" w:eastAsia="仿宋_GB2312"/>
                <w:sz w:val="20"/>
                <w:szCs w:val="20"/>
                <w:lang w:val="en-US" w:eastAsia="zh-CN"/>
              </w:rPr>
              <w:t>0.0</w:t>
            </w:r>
            <w:r>
              <w:rPr>
                <w:rFonts w:hint="eastAsia" w:eastAsia="仿宋_GB2312"/>
                <w:sz w:val="20"/>
                <w:szCs w:val="20"/>
                <w:lang w:val="en-US" w:eastAsia="zh-CN"/>
              </w:rPr>
              <w:t>2</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84"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4</w:t>
            </w:r>
          </w:p>
        </w:tc>
        <w:tc>
          <w:tcPr>
            <w:tcW w:w="2058" w:type="dxa"/>
            <w:noWrap w:val="0"/>
            <w:vAlign w:val="center"/>
          </w:tcPr>
          <w:p>
            <w:pPr>
              <w:jc w:val="center"/>
              <w:rPr>
                <w:rFonts w:hint="eastAsia" w:ascii="Times New Roman" w:hAnsi="Times New Roman" w:eastAsia="仿宋_GB2312"/>
                <w:sz w:val="20"/>
                <w:szCs w:val="20"/>
                <w:lang w:eastAsia="zh-CN"/>
              </w:rPr>
            </w:pPr>
            <w:r>
              <w:rPr>
                <w:rFonts w:hint="eastAsia" w:ascii="Times New Roman" w:hAnsi="Times New Roman" w:eastAsia="仿宋_GB2312"/>
                <w:sz w:val="20"/>
                <w:szCs w:val="20"/>
                <w:lang w:eastAsia="zh-CN"/>
              </w:rPr>
              <w:t>输电线路</w:t>
            </w:r>
          </w:p>
        </w:tc>
        <w:tc>
          <w:tcPr>
            <w:tcW w:w="1295" w:type="dxa"/>
            <w:noWrap w:val="0"/>
            <w:vAlign w:val="center"/>
          </w:tcPr>
          <w:p>
            <w:pPr>
              <w:keepNext w:val="0"/>
              <w:keepLines w:val="0"/>
              <w:widowControl/>
              <w:suppressLineNumbers w:val="0"/>
              <w:jc w:val="center"/>
              <w:textAlignment w:val="center"/>
              <w:rPr>
                <w:rFonts w:hint="default" w:ascii="Times New Roman" w:hAnsi="Times New Roman" w:eastAsia="仿宋_GB2312"/>
                <w:sz w:val="20"/>
                <w:szCs w:val="20"/>
                <w:lang w:val="en-US" w:eastAsia="zh-CN"/>
              </w:rPr>
            </w:pPr>
            <w:r>
              <w:rPr>
                <w:rFonts w:hint="eastAsia" w:ascii="Times New Roman" w:hAnsi="Times New Roman" w:eastAsia="宋体" w:cs="Times New Roman"/>
                <w:i w:val="0"/>
                <w:color w:val="000000"/>
                <w:kern w:val="0"/>
                <w:sz w:val="21"/>
                <w:szCs w:val="21"/>
                <w:u w:val="none"/>
                <w:lang w:val="en-US" w:eastAsia="zh-CN" w:bidi="ar"/>
              </w:rPr>
              <w:t>0.01</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ascii="Times New Roman" w:hAnsi="Times New Roman" w:eastAsia="仿宋_GB2312"/>
                <w:sz w:val="20"/>
                <w:szCs w:val="20"/>
                <w:lang w:val="en-US" w:eastAsia="zh-CN"/>
              </w:rPr>
              <w:t>0</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ascii="Times New Roman" w:hAnsi="Times New Roman" w:eastAsia="仿宋_GB2312"/>
                <w:sz w:val="20"/>
                <w:szCs w:val="20"/>
                <w:lang w:val="en-US" w:eastAsia="zh-CN"/>
              </w:rPr>
              <w:t>0</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ascii="Times New Roman" w:hAnsi="Times New Roman" w:eastAsia="仿宋_GB2312"/>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784" w:type="dxa"/>
            <w:noWrap w:val="0"/>
            <w:vAlign w:val="center"/>
          </w:tcPr>
          <w:p>
            <w:pPr>
              <w:widowControl/>
              <w:spacing w:line="240" w:lineRule="exact"/>
              <w:jc w:val="center"/>
              <w:rPr>
                <w:rFonts w:ascii="Times New Roman" w:hAnsi="Times New Roman" w:eastAsia="仿宋_GB2312"/>
                <w:kern w:val="0"/>
                <w:sz w:val="20"/>
                <w:szCs w:val="20"/>
              </w:rPr>
            </w:pPr>
          </w:p>
        </w:tc>
        <w:tc>
          <w:tcPr>
            <w:tcW w:w="2058" w:type="dxa"/>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合计</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3.51</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2.26</w:t>
            </w:r>
          </w:p>
        </w:tc>
        <w:tc>
          <w:tcPr>
            <w:tcW w:w="1295"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0.08</w:t>
            </w:r>
          </w:p>
        </w:tc>
        <w:tc>
          <w:tcPr>
            <w:tcW w:w="1801" w:type="dxa"/>
            <w:noWrap w:val="0"/>
            <w:vAlign w:val="center"/>
          </w:tcPr>
          <w:p>
            <w:pPr>
              <w:jc w:val="center"/>
              <w:rPr>
                <w:rFonts w:hint="default" w:ascii="Times New Roman" w:hAnsi="Times New Roman" w:eastAsia="仿宋_GB2312"/>
                <w:sz w:val="20"/>
                <w:szCs w:val="20"/>
                <w:lang w:val="en-US" w:eastAsia="zh-CN"/>
              </w:rPr>
            </w:pPr>
            <w:r>
              <w:rPr>
                <w:rFonts w:hint="eastAsia" w:eastAsia="仿宋_GB2312"/>
                <w:sz w:val="20"/>
                <w:szCs w:val="20"/>
                <w:lang w:val="en-US" w:eastAsia="zh-CN"/>
              </w:rPr>
              <w:t>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37" w:type="dxa"/>
            <w:gridSpan w:val="3"/>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水保措施面积</w:t>
            </w:r>
          </w:p>
        </w:tc>
        <w:tc>
          <w:tcPr>
            <w:tcW w:w="2590" w:type="dxa"/>
            <w:gridSpan w:val="2"/>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2.34</w:t>
            </w:r>
          </w:p>
        </w:tc>
        <w:tc>
          <w:tcPr>
            <w:tcW w:w="1801" w:type="dxa"/>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37" w:type="dxa"/>
            <w:gridSpan w:val="3"/>
            <w:noWrap w:val="0"/>
            <w:vAlign w:val="center"/>
          </w:tcPr>
          <w:p>
            <w:pPr>
              <w:widowControl/>
              <w:spacing w:line="240" w:lineRule="exact"/>
              <w:jc w:val="center"/>
              <w:rPr>
                <w:rFonts w:ascii="Times New Roman" w:hAnsi="Times New Roman" w:eastAsia="仿宋_GB2312"/>
                <w:kern w:val="0"/>
                <w:sz w:val="20"/>
                <w:szCs w:val="20"/>
              </w:rPr>
            </w:pPr>
            <w:r>
              <w:rPr>
                <w:rFonts w:ascii="Times New Roman" w:hAnsi="Times New Roman" w:eastAsia="仿宋_GB2312"/>
                <w:kern w:val="0"/>
                <w:sz w:val="20"/>
                <w:szCs w:val="20"/>
              </w:rPr>
              <w:t>水土流失总治理度(%)</w:t>
            </w:r>
          </w:p>
        </w:tc>
        <w:tc>
          <w:tcPr>
            <w:tcW w:w="4391" w:type="dxa"/>
            <w:gridSpan w:val="3"/>
            <w:noWrap w:val="0"/>
            <w:vAlign w:val="center"/>
          </w:tcPr>
          <w:p>
            <w:pPr>
              <w:widowControl/>
              <w:spacing w:line="240" w:lineRule="exact"/>
              <w:jc w:val="center"/>
              <w:rPr>
                <w:rFonts w:hint="default" w:ascii="Times New Roman" w:hAnsi="Times New Roman" w:eastAsia="仿宋_GB2312"/>
                <w:kern w:val="0"/>
                <w:sz w:val="20"/>
                <w:szCs w:val="20"/>
                <w:lang w:val="en-US" w:eastAsia="zh-CN"/>
              </w:rPr>
            </w:pPr>
            <w:r>
              <w:rPr>
                <w:rFonts w:hint="eastAsia" w:eastAsia="仿宋_GB2312"/>
                <w:kern w:val="0"/>
                <w:sz w:val="20"/>
                <w:szCs w:val="20"/>
                <w:lang w:val="en-US" w:eastAsia="zh-CN"/>
              </w:rPr>
              <w:t>98.86</w:t>
            </w:r>
          </w:p>
        </w:tc>
      </w:tr>
    </w:tbl>
    <w:p>
      <w:pPr>
        <w:pStyle w:val="43"/>
        <w:adjustRightInd/>
        <w:snapToGrid/>
        <w:ind w:firstLine="480"/>
        <w:rPr>
          <w:rFonts w:hint="default"/>
          <w:bCs/>
          <w:lang w:val="en-US" w:eastAsia="zh-CN"/>
        </w:rPr>
      </w:pPr>
    </w:p>
    <w:p>
      <w:pPr>
        <w:spacing w:line="360" w:lineRule="auto"/>
        <w:ind w:firstLine="480" w:firstLineChars="200"/>
        <w:rPr>
          <w:rFonts w:hint="default" w:ascii="Times New Roman" w:hAnsi="Times New Roman" w:eastAsia="仿宋_GB2312"/>
          <w:sz w:val="24"/>
          <w:lang w:val="en-US" w:eastAsia="zh-CN"/>
        </w:rPr>
      </w:pPr>
      <w:r>
        <w:rPr>
          <w:rFonts w:hint="default" w:ascii="Times New Roman" w:hAnsi="Times New Roman" w:eastAsia="仿宋_GB2312"/>
          <w:sz w:val="24"/>
          <w:lang w:val="en-US" w:eastAsia="zh-CN"/>
        </w:rPr>
        <w:t>2</w:t>
      </w:r>
      <w:r>
        <w:rPr>
          <w:rFonts w:hint="eastAsia" w:ascii="Times New Roman" w:hAnsi="Times New Roman" w:eastAsia="仿宋_GB2312"/>
          <w:sz w:val="24"/>
          <w:lang w:val="en-US" w:eastAsia="zh-CN"/>
        </w:rPr>
        <w:t>）</w:t>
      </w:r>
      <w:r>
        <w:rPr>
          <w:rFonts w:hint="default" w:ascii="Times New Roman" w:hAnsi="Times New Roman" w:eastAsia="仿宋_GB2312"/>
          <w:sz w:val="24"/>
          <w:lang w:val="en-US" w:eastAsia="zh-CN"/>
        </w:rPr>
        <w:t>土壤流失控制比</w:t>
      </w:r>
    </w:p>
    <w:p>
      <w:pPr>
        <w:spacing w:line="360" w:lineRule="auto"/>
        <w:ind w:firstLine="480" w:firstLineChars="200"/>
        <w:rPr>
          <w:rFonts w:hint="default" w:ascii="Times New Roman" w:hAnsi="Times New Roman" w:eastAsia="仿宋_GB2312"/>
          <w:sz w:val="24"/>
          <w:lang w:val="en-US" w:eastAsia="zh-CN"/>
        </w:rPr>
      </w:pPr>
      <w:r>
        <w:rPr>
          <w:rFonts w:hint="default" w:ascii="Times New Roman" w:hAnsi="Times New Roman" w:eastAsia="仿宋_GB2312"/>
          <w:sz w:val="24"/>
          <w:lang w:val="en-US" w:eastAsia="zh-CN"/>
        </w:rPr>
        <w:t>项目区土壤容许流失量为1000t/km</w:t>
      </w:r>
      <w:r>
        <w:rPr>
          <w:rFonts w:hint="default" w:ascii="Times New Roman" w:hAnsi="Times New Roman" w:eastAsia="仿宋_GB2312"/>
          <w:sz w:val="24"/>
          <w:vertAlign w:val="superscript"/>
          <w:lang w:val="en-US" w:eastAsia="zh-CN"/>
        </w:rPr>
        <w:t>2</w:t>
      </w:r>
      <w:r>
        <w:rPr>
          <w:rFonts w:hint="default" w:ascii="Times New Roman" w:hAnsi="Times New Roman" w:eastAsia="仿宋_GB2312"/>
          <w:sz w:val="24"/>
          <w:lang w:val="en-US" w:eastAsia="zh-CN"/>
        </w:rPr>
        <w:t>•a。本工程在采取完善的水土保持措施以后，工程占地范围内的平均土壤流失量为1000t/km</w:t>
      </w:r>
      <w:r>
        <w:rPr>
          <w:rFonts w:hint="default" w:ascii="Times New Roman" w:hAnsi="Times New Roman" w:eastAsia="仿宋_GB2312"/>
          <w:sz w:val="24"/>
          <w:vertAlign w:val="superscript"/>
          <w:lang w:val="en-US" w:eastAsia="zh-CN"/>
        </w:rPr>
        <w:t>2</w:t>
      </w:r>
      <w:r>
        <w:rPr>
          <w:rFonts w:hint="default" w:ascii="Times New Roman" w:hAnsi="Times New Roman" w:eastAsia="仿宋_GB2312"/>
          <w:sz w:val="24"/>
          <w:lang w:val="en-US" w:eastAsia="zh-CN"/>
        </w:rPr>
        <w:t>•a，水土流失控制比为1.0。</w:t>
      </w:r>
    </w:p>
    <w:p>
      <w:pPr>
        <w:spacing w:line="360" w:lineRule="auto"/>
        <w:ind w:firstLine="480" w:firstLineChars="200"/>
        <w:rPr>
          <w:rFonts w:hint="default" w:ascii="Times New Roman" w:hAnsi="Times New Roman" w:eastAsia="仿宋_GB2312"/>
          <w:sz w:val="24"/>
          <w:lang w:val="en-US" w:eastAsia="zh-CN"/>
        </w:rPr>
      </w:pPr>
      <w:r>
        <w:rPr>
          <w:rFonts w:hint="default" w:ascii="Times New Roman" w:hAnsi="Times New Roman" w:eastAsia="仿宋_GB2312"/>
          <w:sz w:val="24"/>
          <w:lang w:val="en-US" w:eastAsia="zh-CN"/>
        </w:rPr>
        <w:t>3</w:t>
      </w:r>
      <w:r>
        <w:rPr>
          <w:rFonts w:hint="eastAsia" w:ascii="Times New Roman" w:hAnsi="Times New Roman" w:eastAsia="仿宋_GB2312"/>
          <w:sz w:val="24"/>
          <w:lang w:val="en-US" w:eastAsia="zh-CN"/>
        </w:rPr>
        <w:t>）</w:t>
      </w:r>
      <w:r>
        <w:rPr>
          <w:rFonts w:hint="default" w:ascii="Times New Roman" w:hAnsi="Times New Roman" w:eastAsia="仿宋_GB2312"/>
          <w:sz w:val="24"/>
          <w:lang w:val="en-US" w:eastAsia="zh-CN"/>
        </w:rPr>
        <w:t>渣土防护率</w:t>
      </w:r>
    </w:p>
    <w:p>
      <w:pPr>
        <w:spacing w:line="360" w:lineRule="auto"/>
        <w:ind w:firstLine="480" w:firstLineChars="200"/>
        <w:rPr>
          <w:rFonts w:hint="default" w:ascii="Times New Roman" w:hAnsi="Times New Roman" w:eastAsia="仿宋_GB2312"/>
          <w:sz w:val="24"/>
          <w:lang w:val="en-US" w:eastAsia="zh-CN"/>
        </w:rPr>
      </w:pPr>
      <w:r>
        <w:rPr>
          <w:rFonts w:hint="default" w:ascii="Times New Roman" w:hAnsi="Times New Roman" w:eastAsia="仿宋_GB2312"/>
          <w:sz w:val="24"/>
          <w:lang w:val="en-US" w:eastAsia="zh-CN"/>
        </w:rPr>
        <w:t>根据建设单位提供资料，本项目建设期动用土石方量为</w:t>
      </w:r>
      <w:r>
        <w:rPr>
          <w:rFonts w:hint="eastAsia" w:ascii="Times New Roman" w:hAnsi="Times New Roman" w:eastAsia="仿宋_GB2312"/>
          <w:sz w:val="24"/>
          <w:lang w:val="en-US" w:eastAsia="zh-CN"/>
        </w:rPr>
        <w:t>1.0</w:t>
      </w:r>
      <w:r>
        <w:rPr>
          <w:rFonts w:hint="default" w:ascii="Times New Roman" w:hAnsi="Times New Roman" w:eastAsia="仿宋_GB2312"/>
          <w:sz w:val="24"/>
          <w:lang w:val="en-US" w:eastAsia="zh-CN"/>
        </w:rPr>
        <w:t>万m</w:t>
      </w:r>
      <w:r>
        <w:rPr>
          <w:rFonts w:hint="default" w:ascii="Times New Roman" w:hAnsi="Times New Roman" w:eastAsia="仿宋_GB2312"/>
          <w:sz w:val="24"/>
          <w:vertAlign w:val="superscript"/>
          <w:lang w:val="en-US" w:eastAsia="zh-CN"/>
        </w:rPr>
        <w:t>3</w:t>
      </w:r>
      <w:r>
        <w:rPr>
          <w:rFonts w:hint="default" w:ascii="Times New Roman" w:hAnsi="Times New Roman" w:eastAsia="仿宋_GB2312"/>
          <w:sz w:val="24"/>
          <w:lang w:val="en-US" w:eastAsia="zh-CN"/>
        </w:rPr>
        <w:t>，其中土方开挖</w:t>
      </w:r>
      <w:r>
        <w:rPr>
          <w:rFonts w:hint="eastAsia" w:ascii="Times New Roman" w:hAnsi="Times New Roman" w:eastAsia="仿宋_GB2312"/>
          <w:sz w:val="24"/>
          <w:lang w:val="en-US" w:eastAsia="zh-CN"/>
        </w:rPr>
        <w:t>0.5</w:t>
      </w:r>
      <w:r>
        <w:rPr>
          <w:rFonts w:hint="default" w:ascii="Times New Roman" w:hAnsi="Times New Roman" w:eastAsia="仿宋_GB2312"/>
          <w:sz w:val="24"/>
          <w:lang w:val="en-US" w:eastAsia="zh-CN"/>
        </w:rPr>
        <w:t>万m</w:t>
      </w:r>
      <w:r>
        <w:rPr>
          <w:rFonts w:hint="default" w:ascii="Times New Roman" w:hAnsi="Times New Roman" w:eastAsia="仿宋_GB2312"/>
          <w:sz w:val="24"/>
          <w:vertAlign w:val="superscript"/>
          <w:lang w:val="en-US" w:eastAsia="zh-CN"/>
        </w:rPr>
        <w:t>3</w:t>
      </w:r>
      <w:r>
        <w:rPr>
          <w:rFonts w:hint="default" w:ascii="Times New Roman" w:hAnsi="Times New Roman" w:eastAsia="仿宋_GB2312"/>
          <w:sz w:val="24"/>
          <w:lang w:val="en-US" w:eastAsia="zh-CN"/>
        </w:rPr>
        <w:t>，土方回填</w:t>
      </w:r>
      <w:r>
        <w:rPr>
          <w:rFonts w:hint="eastAsia" w:ascii="Times New Roman" w:hAnsi="Times New Roman" w:eastAsia="仿宋_GB2312"/>
          <w:sz w:val="24"/>
          <w:lang w:val="en-US" w:eastAsia="zh-CN"/>
        </w:rPr>
        <w:t>0.5</w:t>
      </w:r>
      <w:r>
        <w:rPr>
          <w:rFonts w:hint="default" w:ascii="Times New Roman" w:hAnsi="Times New Roman" w:eastAsia="仿宋_GB2312"/>
          <w:sz w:val="24"/>
          <w:lang w:val="en-US" w:eastAsia="zh-CN"/>
        </w:rPr>
        <w:t>万m</w:t>
      </w:r>
      <w:r>
        <w:rPr>
          <w:rFonts w:hint="default" w:ascii="Times New Roman" w:hAnsi="Times New Roman" w:eastAsia="仿宋_GB2312"/>
          <w:sz w:val="24"/>
          <w:vertAlign w:val="superscript"/>
          <w:lang w:val="en-US" w:eastAsia="zh-CN"/>
        </w:rPr>
        <w:t>3</w:t>
      </w:r>
      <w:r>
        <w:rPr>
          <w:rFonts w:hint="default" w:ascii="Times New Roman" w:hAnsi="Times New Roman" w:eastAsia="仿宋_GB2312"/>
          <w:sz w:val="24"/>
          <w:lang w:val="en-US" w:eastAsia="zh-CN"/>
        </w:rPr>
        <w:t>，无弃方。矿山生产过程中产生的废石</w:t>
      </w:r>
      <w:r>
        <w:rPr>
          <w:rFonts w:hint="eastAsia" w:ascii="Times New Roman" w:hAnsi="Times New Roman" w:eastAsia="仿宋_GB2312"/>
          <w:sz w:val="24"/>
          <w:lang w:val="en-US" w:eastAsia="zh-CN"/>
        </w:rPr>
        <w:t>（废石总量0.53万m</w:t>
      </w:r>
      <w:r>
        <w:rPr>
          <w:rFonts w:hint="eastAsia" w:ascii="Times New Roman" w:hAnsi="Times New Roman" w:eastAsia="仿宋_GB2312"/>
          <w:sz w:val="24"/>
          <w:vertAlign w:val="superscript"/>
          <w:lang w:val="en-US" w:eastAsia="zh-CN"/>
        </w:rPr>
        <w:t>3</w:t>
      </w:r>
      <w:r>
        <w:rPr>
          <w:rFonts w:hint="eastAsia" w:ascii="Times New Roman" w:hAnsi="Times New Roman" w:eastAsia="仿宋_GB2312"/>
          <w:sz w:val="24"/>
          <w:lang w:val="en-US" w:eastAsia="zh-CN"/>
        </w:rPr>
        <w:t>）</w:t>
      </w:r>
      <w:r>
        <w:rPr>
          <w:rFonts w:hint="default" w:ascii="Times New Roman" w:hAnsi="Times New Roman" w:eastAsia="仿宋_GB2312"/>
          <w:sz w:val="24"/>
          <w:lang w:val="en-US" w:eastAsia="zh-CN"/>
        </w:rPr>
        <w:t>已与曲沃县顺风建材有限公司签订废石购销合同，全部运往曲沃县顺风建材有限建材公司综合利用。因此，渣土防护率可达99%。</w:t>
      </w:r>
    </w:p>
    <w:p>
      <w:pPr>
        <w:spacing w:line="360" w:lineRule="auto"/>
        <w:ind w:firstLine="480" w:firstLineChars="200"/>
        <w:rPr>
          <w:rFonts w:hint="default" w:ascii="Times New Roman" w:hAnsi="Times New Roman" w:eastAsia="仿宋_GB2312"/>
          <w:sz w:val="24"/>
          <w:lang w:val="en-US" w:eastAsia="zh-CN"/>
        </w:rPr>
      </w:pPr>
      <w:r>
        <w:rPr>
          <w:rFonts w:hint="default" w:ascii="Times New Roman" w:hAnsi="Times New Roman" w:eastAsia="仿宋_GB2312"/>
          <w:sz w:val="24"/>
          <w:lang w:val="en-US" w:eastAsia="zh-CN"/>
        </w:rPr>
        <w:t>4</w:t>
      </w:r>
      <w:r>
        <w:rPr>
          <w:rFonts w:hint="eastAsia" w:ascii="Times New Roman" w:hAnsi="Times New Roman" w:eastAsia="仿宋_GB2312"/>
          <w:sz w:val="24"/>
          <w:lang w:val="en-US" w:eastAsia="zh-CN"/>
        </w:rPr>
        <w:t>）</w:t>
      </w:r>
      <w:r>
        <w:rPr>
          <w:rFonts w:hint="default" w:ascii="Times New Roman" w:hAnsi="Times New Roman" w:eastAsia="仿宋_GB2312"/>
          <w:sz w:val="24"/>
          <w:lang w:val="en-US" w:eastAsia="zh-CN"/>
        </w:rPr>
        <w:t>表土防护率</w:t>
      </w:r>
    </w:p>
    <w:p>
      <w:pPr>
        <w:spacing w:line="360" w:lineRule="auto"/>
        <w:ind w:firstLine="480" w:firstLineChars="200"/>
        <w:rPr>
          <w:rFonts w:hint="eastAsia" w:ascii="Times New Roman" w:hAnsi="Times New Roman" w:eastAsia="仿宋_GB2312"/>
          <w:sz w:val="24"/>
          <w:lang w:val="en-US" w:eastAsia="zh-CN"/>
        </w:rPr>
      </w:pPr>
      <w:r>
        <w:rPr>
          <w:rFonts w:hint="default" w:ascii="Times New Roman" w:hAnsi="Times New Roman" w:eastAsia="仿宋_GB2312"/>
          <w:sz w:val="24"/>
          <w:lang w:val="en-US" w:eastAsia="zh-CN"/>
        </w:rPr>
        <w:t>根据调查，本项目在</w:t>
      </w:r>
      <w:r>
        <w:rPr>
          <w:rFonts w:hint="eastAsia" w:ascii="Times New Roman" w:hAnsi="Times New Roman" w:eastAsia="仿宋_GB2312"/>
          <w:sz w:val="24"/>
          <w:lang w:val="en-US" w:eastAsia="zh-CN"/>
        </w:rPr>
        <w:t>所在地基本为裸露岩石，不具备表土剥离条件，因此本方案不进行表土剥离计算。</w:t>
      </w:r>
    </w:p>
    <w:p>
      <w:pPr>
        <w:spacing w:line="360" w:lineRule="auto"/>
        <w:ind w:firstLine="480" w:firstLineChars="200"/>
        <w:rPr>
          <w:rFonts w:hint="default" w:ascii="Times New Roman" w:hAnsi="Times New Roman" w:eastAsia="仿宋_GB2312"/>
          <w:sz w:val="24"/>
          <w:lang w:val="en-US" w:eastAsia="zh-CN"/>
        </w:rPr>
      </w:pPr>
      <w:r>
        <w:rPr>
          <w:rFonts w:hint="default" w:ascii="Times New Roman" w:hAnsi="Times New Roman" w:eastAsia="仿宋_GB2312"/>
          <w:sz w:val="24"/>
          <w:lang w:val="en-US" w:eastAsia="zh-CN"/>
        </w:rPr>
        <w:t>5</w:t>
      </w:r>
      <w:r>
        <w:rPr>
          <w:rFonts w:hint="eastAsia" w:ascii="Times New Roman" w:hAnsi="Times New Roman" w:eastAsia="仿宋_GB2312"/>
          <w:sz w:val="24"/>
          <w:lang w:val="en-US" w:eastAsia="zh-CN"/>
        </w:rPr>
        <w:t>）</w:t>
      </w:r>
      <w:r>
        <w:rPr>
          <w:rFonts w:hint="default" w:ascii="Times New Roman" w:hAnsi="Times New Roman" w:eastAsia="仿宋_GB2312"/>
          <w:sz w:val="24"/>
          <w:lang w:val="en-US" w:eastAsia="zh-CN"/>
        </w:rPr>
        <w:t>林草植被恢复率</w:t>
      </w:r>
    </w:p>
    <w:p>
      <w:pPr>
        <w:spacing w:line="360" w:lineRule="auto"/>
        <w:ind w:firstLine="480" w:firstLineChars="200"/>
        <w:rPr>
          <w:rFonts w:hint="default" w:ascii="Times New Roman" w:hAnsi="Times New Roman" w:eastAsia="仿宋_GB2312"/>
          <w:sz w:val="24"/>
          <w:lang w:val="en-US" w:eastAsia="zh-CN"/>
        </w:rPr>
      </w:pPr>
      <w:r>
        <w:rPr>
          <w:rFonts w:hint="default" w:ascii="Times New Roman" w:hAnsi="Times New Roman" w:eastAsia="仿宋_GB2312"/>
          <w:sz w:val="24"/>
          <w:lang w:val="en-US" w:eastAsia="zh-CN"/>
        </w:rPr>
        <w:t>林草植被恢复率=林草植被面积/可恢复林草植被面积×100%</w:t>
      </w:r>
    </w:p>
    <w:p>
      <w:pPr>
        <w:spacing w:line="360" w:lineRule="auto"/>
        <w:ind w:firstLine="480" w:firstLineChars="200"/>
        <w:rPr>
          <w:rFonts w:hint="default" w:ascii="Times New Roman" w:hAnsi="Times New Roman" w:eastAsia="仿宋_GB2312"/>
          <w:sz w:val="24"/>
          <w:lang w:val="en-US" w:eastAsia="zh-CN"/>
        </w:rPr>
      </w:pPr>
      <w:r>
        <w:rPr>
          <w:rFonts w:hint="default" w:ascii="Times New Roman" w:hAnsi="Times New Roman" w:eastAsia="仿宋_GB2312"/>
          <w:sz w:val="24"/>
          <w:lang w:val="en-US" w:eastAsia="zh-CN"/>
        </w:rPr>
        <w:t>工程建设结束后，本方案设计中对所有扰动的地表进行土地平整及恢复植被，针对可绿化的区域，除少部分难利用的土地以外全部采取植物措施进行绿化，本工程所采取的植物措施总面积为</w:t>
      </w:r>
      <w:r>
        <w:rPr>
          <w:rFonts w:hint="eastAsia" w:ascii="Times New Roman" w:hAnsi="Times New Roman" w:eastAsia="仿宋_GB2312"/>
          <w:sz w:val="24"/>
          <w:lang w:val="en-US" w:eastAsia="zh-CN"/>
        </w:rPr>
        <w:t>2.26</w:t>
      </w:r>
      <w:r>
        <w:rPr>
          <w:rFonts w:hint="default" w:ascii="Times New Roman" w:hAnsi="Times New Roman" w:eastAsia="仿宋_GB2312"/>
          <w:sz w:val="24"/>
          <w:lang w:val="en-US" w:eastAsia="zh-CN"/>
        </w:rPr>
        <w:t>hm</w:t>
      </w:r>
      <w:r>
        <w:rPr>
          <w:rFonts w:hint="default" w:ascii="Times New Roman" w:hAnsi="Times New Roman" w:eastAsia="仿宋_GB2312"/>
          <w:sz w:val="24"/>
          <w:vertAlign w:val="superscript"/>
          <w:lang w:val="en-US" w:eastAsia="zh-CN"/>
        </w:rPr>
        <w:t>2</w:t>
      </w:r>
      <w:r>
        <w:rPr>
          <w:rFonts w:hint="default" w:ascii="Times New Roman" w:hAnsi="Times New Roman" w:eastAsia="仿宋_GB2312"/>
          <w:sz w:val="24"/>
          <w:lang w:val="en-US" w:eastAsia="zh-CN"/>
        </w:rPr>
        <w:t>，可绿化面积为</w:t>
      </w:r>
      <w:r>
        <w:rPr>
          <w:rFonts w:hint="eastAsia" w:ascii="Times New Roman" w:hAnsi="Times New Roman" w:eastAsia="仿宋_GB2312"/>
          <w:sz w:val="24"/>
          <w:lang w:val="en-US" w:eastAsia="zh-CN"/>
        </w:rPr>
        <w:t>2.27</w:t>
      </w:r>
      <w:r>
        <w:rPr>
          <w:rFonts w:hint="default" w:ascii="Times New Roman" w:hAnsi="Times New Roman" w:eastAsia="仿宋_GB2312"/>
          <w:sz w:val="24"/>
          <w:lang w:val="en-US" w:eastAsia="zh-CN"/>
        </w:rPr>
        <w:t>m2，因此，林草植被恢复率将达到9</w:t>
      </w:r>
      <w:r>
        <w:rPr>
          <w:rFonts w:hint="eastAsia" w:ascii="Times New Roman" w:hAnsi="Times New Roman" w:eastAsia="仿宋_GB2312"/>
          <w:sz w:val="24"/>
          <w:lang w:val="en-US" w:eastAsia="zh-CN"/>
        </w:rPr>
        <w:t>9.55</w:t>
      </w:r>
      <w:r>
        <w:rPr>
          <w:rFonts w:hint="default" w:ascii="Times New Roman" w:hAnsi="Times New Roman" w:eastAsia="仿宋_GB2312"/>
          <w:sz w:val="24"/>
          <w:lang w:val="en-US" w:eastAsia="zh-CN"/>
        </w:rPr>
        <w:t>%。</w:t>
      </w:r>
    </w:p>
    <w:p>
      <w:pPr>
        <w:spacing w:line="360" w:lineRule="auto"/>
        <w:ind w:firstLine="480" w:firstLineChars="200"/>
        <w:rPr>
          <w:rFonts w:hint="default" w:ascii="Times New Roman" w:hAnsi="Times New Roman" w:eastAsia="仿宋_GB2312"/>
          <w:sz w:val="24"/>
          <w:lang w:val="en-US" w:eastAsia="zh-CN"/>
        </w:rPr>
      </w:pPr>
      <w:r>
        <w:rPr>
          <w:rFonts w:hint="default" w:ascii="Times New Roman" w:hAnsi="Times New Roman" w:eastAsia="仿宋_GB2312"/>
          <w:sz w:val="24"/>
          <w:lang w:val="en-US" w:eastAsia="zh-CN"/>
        </w:rPr>
        <w:t>6</w:t>
      </w:r>
      <w:r>
        <w:rPr>
          <w:rFonts w:hint="eastAsia" w:ascii="Times New Roman" w:hAnsi="Times New Roman" w:eastAsia="仿宋_GB2312"/>
          <w:sz w:val="24"/>
          <w:lang w:val="en-US" w:eastAsia="zh-CN"/>
        </w:rPr>
        <w:t>）</w:t>
      </w:r>
      <w:r>
        <w:rPr>
          <w:rFonts w:hint="default" w:ascii="Times New Roman" w:hAnsi="Times New Roman" w:eastAsia="仿宋_GB2312"/>
          <w:sz w:val="24"/>
          <w:lang w:val="en-US" w:eastAsia="zh-CN"/>
        </w:rPr>
        <w:t>林草覆盖率</w:t>
      </w:r>
    </w:p>
    <w:p>
      <w:pPr>
        <w:spacing w:line="360" w:lineRule="auto"/>
        <w:ind w:firstLine="480" w:firstLineChars="200"/>
        <w:rPr>
          <w:rFonts w:hint="default" w:ascii="Times New Roman" w:hAnsi="Times New Roman" w:eastAsia="仿宋_GB2312"/>
          <w:sz w:val="24"/>
          <w:lang w:val="en-US" w:eastAsia="zh-CN"/>
        </w:rPr>
      </w:pPr>
      <w:r>
        <w:rPr>
          <w:rFonts w:hint="default" w:ascii="Times New Roman" w:hAnsi="Times New Roman" w:eastAsia="仿宋_GB2312"/>
          <w:sz w:val="24"/>
          <w:lang w:val="en-US" w:eastAsia="zh-CN"/>
        </w:rPr>
        <w:t>林草覆盖率=林草植被面积/项目建设区总面积×100%</w:t>
      </w:r>
    </w:p>
    <w:p>
      <w:pPr>
        <w:spacing w:line="360" w:lineRule="auto"/>
        <w:ind w:firstLine="480" w:firstLineChars="200"/>
        <w:rPr>
          <w:rFonts w:hint="default" w:ascii="Times New Roman" w:hAnsi="Times New Roman" w:eastAsia="仿宋_GB2312"/>
          <w:sz w:val="24"/>
          <w:lang w:val="en-US" w:eastAsia="zh-CN"/>
        </w:rPr>
      </w:pPr>
      <w:r>
        <w:rPr>
          <w:rFonts w:hint="default" w:ascii="Times New Roman" w:hAnsi="Times New Roman" w:eastAsia="仿宋_GB2312"/>
          <w:sz w:val="24"/>
          <w:lang w:val="en-US" w:eastAsia="zh-CN"/>
        </w:rPr>
        <w:t>本工程占地面积</w:t>
      </w:r>
      <w:r>
        <w:rPr>
          <w:rFonts w:hint="eastAsia" w:ascii="Times New Roman" w:hAnsi="Times New Roman" w:eastAsia="仿宋_GB2312"/>
          <w:sz w:val="24"/>
          <w:lang w:val="en-US" w:eastAsia="zh-CN"/>
        </w:rPr>
        <w:t>3.51</w:t>
      </w:r>
      <w:r>
        <w:rPr>
          <w:rFonts w:hint="default" w:ascii="Times New Roman" w:hAnsi="Times New Roman" w:eastAsia="仿宋_GB2312"/>
          <w:sz w:val="24"/>
          <w:lang w:val="en-US" w:eastAsia="zh-CN"/>
        </w:rPr>
        <w:t>hm</w:t>
      </w:r>
      <w:r>
        <w:rPr>
          <w:rFonts w:hint="default" w:ascii="Times New Roman" w:hAnsi="Times New Roman" w:eastAsia="仿宋_GB2312"/>
          <w:sz w:val="24"/>
          <w:vertAlign w:val="superscript"/>
          <w:lang w:val="en-US" w:eastAsia="zh-CN"/>
        </w:rPr>
        <w:t>2</w:t>
      </w:r>
      <w:r>
        <w:rPr>
          <w:rFonts w:hint="default" w:ascii="Times New Roman" w:hAnsi="Times New Roman" w:eastAsia="仿宋_GB2312"/>
          <w:sz w:val="24"/>
          <w:lang w:val="en-US" w:eastAsia="zh-CN"/>
        </w:rPr>
        <w:t>，绿化面积</w:t>
      </w:r>
      <w:r>
        <w:rPr>
          <w:rFonts w:hint="eastAsia" w:ascii="Times New Roman" w:hAnsi="Times New Roman" w:eastAsia="仿宋_GB2312"/>
          <w:sz w:val="24"/>
          <w:lang w:val="en-US" w:eastAsia="zh-CN"/>
        </w:rPr>
        <w:t>2.26</w:t>
      </w:r>
      <w:r>
        <w:rPr>
          <w:rFonts w:hint="default" w:ascii="Times New Roman" w:hAnsi="Times New Roman" w:eastAsia="仿宋_GB2312"/>
          <w:sz w:val="24"/>
          <w:lang w:val="en-US" w:eastAsia="zh-CN"/>
        </w:rPr>
        <w:t>hm</w:t>
      </w:r>
      <w:r>
        <w:rPr>
          <w:rFonts w:hint="default" w:ascii="Times New Roman" w:hAnsi="Times New Roman" w:eastAsia="仿宋_GB2312"/>
          <w:sz w:val="24"/>
          <w:vertAlign w:val="superscript"/>
          <w:lang w:val="en-US" w:eastAsia="zh-CN"/>
        </w:rPr>
        <w:t>2</w:t>
      </w:r>
      <w:r>
        <w:rPr>
          <w:rFonts w:hint="default" w:ascii="Times New Roman" w:hAnsi="Times New Roman" w:eastAsia="仿宋_GB2312"/>
          <w:sz w:val="24"/>
          <w:lang w:val="en-US" w:eastAsia="zh-CN"/>
        </w:rPr>
        <w:t>，林草覆盖率达到</w:t>
      </w:r>
      <w:r>
        <w:rPr>
          <w:rFonts w:hint="eastAsia" w:ascii="Times New Roman" w:hAnsi="Times New Roman" w:eastAsia="仿宋_GB2312"/>
          <w:sz w:val="24"/>
          <w:lang w:val="en-US" w:eastAsia="zh-CN"/>
        </w:rPr>
        <w:t>64.39</w:t>
      </w:r>
      <w:r>
        <w:rPr>
          <w:rFonts w:hint="default" w:ascii="Times New Roman" w:hAnsi="Times New Roman" w:eastAsia="仿宋_GB2312"/>
          <w:sz w:val="24"/>
          <w:lang w:val="en-US" w:eastAsia="zh-CN"/>
        </w:rPr>
        <w:t>%。</w:t>
      </w:r>
    </w:p>
    <w:p>
      <w:pPr>
        <w:rPr>
          <w:rFonts w:ascii="Times New Roman" w:hAnsi="Times New Roman" w:eastAsia="仿宋_GB2312"/>
        </w:rPr>
      </w:pPr>
      <w:bookmarkStart w:id="125" w:name="_Toc17041"/>
      <w:r>
        <w:rPr>
          <w:rFonts w:ascii="Times New Roman" w:hAnsi="Times New Roman" w:eastAsia="仿宋_GB2312"/>
        </w:rPr>
        <w:br w:type="page"/>
      </w:r>
    </w:p>
    <w:p>
      <w:pPr>
        <w:pStyle w:val="3"/>
        <w:rPr>
          <w:rFonts w:ascii="Times New Roman" w:hAnsi="Times New Roman" w:eastAsia="仿宋_GB2312"/>
        </w:rPr>
      </w:pPr>
      <w:bookmarkStart w:id="126" w:name="_Toc27024"/>
      <w:r>
        <w:rPr>
          <w:rFonts w:ascii="Times New Roman" w:hAnsi="Times New Roman" w:eastAsia="仿宋_GB2312"/>
        </w:rPr>
        <w:t>8水土保持管理</w:t>
      </w:r>
      <w:bookmarkEnd w:id="125"/>
      <w:bookmarkEnd w:id="126"/>
    </w:p>
    <w:p>
      <w:pPr>
        <w:pStyle w:val="4"/>
        <w:spacing w:before="120" w:after="120" w:line="360" w:lineRule="auto"/>
        <w:ind w:firstLine="0"/>
        <w:rPr>
          <w:rFonts w:ascii="Times New Roman" w:hAnsi="Times New Roman" w:eastAsia="仿宋_GB2312" w:cs="Times New Roman"/>
          <w:b/>
          <w:bCs/>
          <w:sz w:val="32"/>
          <w:szCs w:val="32"/>
        </w:rPr>
      </w:pPr>
      <w:bookmarkStart w:id="127" w:name="_Toc6079"/>
      <w:bookmarkStart w:id="128" w:name="_Toc10931"/>
      <w:r>
        <w:rPr>
          <w:rFonts w:ascii="Times New Roman" w:hAnsi="Times New Roman" w:eastAsia="仿宋_GB2312" w:cs="Times New Roman"/>
          <w:b/>
          <w:bCs/>
          <w:sz w:val="32"/>
          <w:szCs w:val="32"/>
        </w:rPr>
        <w:t>8.1组织管理</w:t>
      </w:r>
      <w:bookmarkEnd w:id="127"/>
      <w:bookmarkEnd w:id="128"/>
    </w:p>
    <w:p>
      <w:pPr>
        <w:pStyle w:val="14"/>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1）为保证方案的实施，依据水土保持法及其实施条例，本项目水土保持方案的组织实施方式为：由项目业主自己组织实施，要求业主承诺和落实具体的实施保证措施，并报经方案批准机关审查同意。业主在实施审定的水土保持方案过程中，要采取公平、公开、公正的原则实行招投标制，把水保工程纳入到主体工程实施的施工中。</w:t>
      </w:r>
    </w:p>
    <w:p>
      <w:pPr>
        <w:pStyle w:val="14"/>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2）在水土保持工程的实施过程中，建设单位、施工单位、水土保持管理部门要加强协作，共同协调各方面的关系。严格按照《水土保持法》规定的“三同时”制度和“谁开发、谁破坏，谁保护”的原则，全面认真的实施水土保持方案，根据公路主体施工进度安排，统一规划，统一部署，统一实施。</w:t>
      </w:r>
    </w:p>
    <w:p>
      <w:pPr>
        <w:pStyle w:val="14"/>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（3）建设单位明确水土保持管理机构及其职责，建立健全水土保持管理的规章制度，建立水土保持工程档案。工程开工时应向水行政主管部门备案。</w:t>
      </w:r>
    </w:p>
    <w:p>
      <w:pPr>
        <w:pStyle w:val="4"/>
        <w:spacing w:before="120" w:after="120" w:line="360" w:lineRule="auto"/>
        <w:ind w:firstLine="0"/>
        <w:rPr>
          <w:rFonts w:ascii="Times New Roman" w:hAnsi="Times New Roman" w:eastAsia="仿宋_GB2312" w:cs="Times New Roman"/>
          <w:b/>
          <w:bCs/>
          <w:sz w:val="32"/>
          <w:szCs w:val="32"/>
        </w:rPr>
      </w:pPr>
      <w:bookmarkStart w:id="129" w:name="_Toc18998"/>
      <w:bookmarkStart w:id="130" w:name="_Toc20745"/>
      <w:r>
        <w:rPr>
          <w:rFonts w:ascii="Times New Roman" w:hAnsi="Times New Roman" w:eastAsia="仿宋_GB2312" w:cs="Times New Roman"/>
          <w:b/>
          <w:bCs/>
          <w:sz w:val="32"/>
          <w:szCs w:val="32"/>
        </w:rPr>
        <w:t>8.2后续设计</w:t>
      </w:r>
      <w:bookmarkEnd w:id="129"/>
      <w:bookmarkEnd w:id="130"/>
    </w:p>
    <w:p>
      <w:pPr>
        <w:pStyle w:val="14"/>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1）水土保持方案批复后，将方案制定的防治措施内容和投资纳入主体工程下一阶段的设计文件中，并单独成章。在设计时应采取招标方式，选择有水保工程设计资质的单位承担。项目下阶段设计审查时应有国家级水行政主管部门参加并提出水保持意见。已经通过的水保方案应报水行政主管部门备案。</w:t>
      </w:r>
    </w:p>
    <w:p>
      <w:pPr>
        <w:pStyle w:val="14"/>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（2）如果设计出现大的变更或因故要变更水保方案时，变更方案应在规定的时限内报水行政主管部门审批。</w:t>
      </w:r>
    </w:p>
    <w:p>
      <w:pPr>
        <w:pStyle w:val="4"/>
        <w:spacing w:before="120" w:after="120" w:line="360" w:lineRule="auto"/>
        <w:ind w:firstLine="0"/>
        <w:rPr>
          <w:rFonts w:ascii="Times New Roman" w:hAnsi="Times New Roman" w:eastAsia="仿宋_GB2312" w:cs="Times New Roman"/>
          <w:b/>
          <w:bCs/>
          <w:sz w:val="32"/>
          <w:szCs w:val="32"/>
        </w:rPr>
      </w:pPr>
      <w:bookmarkStart w:id="131" w:name="_Toc17408"/>
      <w:bookmarkStart w:id="132" w:name="_Toc27125"/>
      <w:r>
        <w:rPr>
          <w:rFonts w:ascii="Times New Roman" w:hAnsi="Times New Roman" w:eastAsia="仿宋_GB2312" w:cs="Times New Roman"/>
          <w:b/>
          <w:bCs/>
          <w:sz w:val="32"/>
          <w:szCs w:val="32"/>
        </w:rPr>
        <w:t>8.3水土保持监测</w:t>
      </w:r>
      <w:bookmarkEnd w:id="131"/>
      <w:bookmarkEnd w:id="132"/>
    </w:p>
    <w:p>
      <w:pPr>
        <w:widowControl/>
        <w:spacing w:line="360" w:lineRule="auto"/>
        <w:ind w:firstLine="480" w:firstLineChars="200"/>
        <w:jc w:val="left"/>
        <w:rPr>
          <w:rFonts w:ascii="Times New Roman" w:hAnsi="Times New Roman" w:eastAsia="仿宋_GB2312"/>
          <w:kern w:val="0"/>
          <w:sz w:val="24"/>
          <w:szCs w:val="24"/>
        </w:rPr>
      </w:pPr>
      <w:r>
        <w:rPr>
          <w:rFonts w:hint="eastAsia" w:eastAsia="仿宋_GB2312"/>
          <w:lang w:eastAsia="zh-CN"/>
        </w:rPr>
        <w:t>按照</w:t>
      </w:r>
      <w:r>
        <w:rPr>
          <w:rFonts w:hint="eastAsia" w:ascii="Times New Roman" w:hAnsi="Times New Roman" w:eastAsia="仿宋_GB2312"/>
        </w:rPr>
        <w:t>《水利部关于进一步深化“放管服”改革，全面加强水土保持监管的意见》（水保〔2019〕160号）</w:t>
      </w:r>
      <w:r>
        <w:rPr>
          <w:rFonts w:hint="eastAsia" w:eastAsia="仿宋_GB2312"/>
          <w:lang w:eastAsia="zh-CN"/>
        </w:rPr>
        <w:t>文件要求执行。</w:t>
      </w:r>
    </w:p>
    <w:p>
      <w:pPr>
        <w:pStyle w:val="4"/>
        <w:spacing w:before="120" w:after="120" w:line="360" w:lineRule="auto"/>
        <w:ind w:firstLine="0"/>
        <w:rPr>
          <w:rFonts w:ascii="Times New Roman" w:hAnsi="Times New Roman" w:eastAsia="仿宋_GB2312" w:cs="Times New Roman"/>
          <w:b/>
          <w:bCs/>
          <w:sz w:val="32"/>
          <w:szCs w:val="32"/>
        </w:rPr>
      </w:pPr>
      <w:bookmarkStart w:id="133" w:name="_Toc24534"/>
      <w:bookmarkStart w:id="134" w:name="_Toc28035"/>
      <w:r>
        <w:rPr>
          <w:rFonts w:ascii="Times New Roman" w:hAnsi="Times New Roman" w:eastAsia="仿宋_GB2312" w:cs="Times New Roman"/>
          <w:b/>
          <w:bCs/>
          <w:sz w:val="32"/>
          <w:szCs w:val="32"/>
        </w:rPr>
        <w:t>8.4水土保持监理</w:t>
      </w:r>
      <w:bookmarkEnd w:id="133"/>
      <w:bookmarkEnd w:id="134"/>
    </w:p>
    <w:p>
      <w:pPr>
        <w:pStyle w:val="14"/>
        <w:spacing w:line="360" w:lineRule="auto"/>
        <w:ind w:firstLine="480" w:firstLineChars="200"/>
        <w:rPr>
          <w:rFonts w:hint="eastAsia" w:ascii="Times New Roman" w:hAnsi="Times New Roman" w:eastAsia="仿宋_GB2312" w:cs="Times New Roman"/>
          <w:sz w:val="24"/>
          <w:szCs w:val="24"/>
        </w:rPr>
      </w:pPr>
      <w:bookmarkStart w:id="135" w:name="_Toc3335"/>
      <w:bookmarkStart w:id="136" w:name="_Toc20214"/>
      <w:r>
        <w:rPr>
          <w:rFonts w:hint="eastAsia" w:ascii="Times New Roman" w:hAnsi="Times New Roman" w:eastAsia="仿宋_GB2312" w:cs="Times New Roman"/>
          <w:sz w:val="24"/>
          <w:szCs w:val="24"/>
        </w:rPr>
        <w:t>凡主体工程开展监理工作的项目，应当按照水土保持监理标准和规范开展水土保持工程施工监理。其中，征占地在 20 公顷以上或者挖填土石方总量在 20 万立方米以上的项目，应当配备具有水土保持专业监理资格的工程师；征占地 200公顷以上或者挖填土石方总量在 200 万立方米以上的项目，应当由具有水土保持工程施工监理专业资质的单位承担监理任务。</w:t>
      </w:r>
    </w:p>
    <w:p>
      <w:pPr>
        <w:pStyle w:val="14"/>
        <w:spacing w:line="360" w:lineRule="auto"/>
        <w:ind w:firstLine="480" w:firstLineChars="200"/>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实施水土保持工程监理前，建设单位项目主管领导应与监理单位签订书面监理合同，合同中应明确水土保持工程监理任务，监理单位对水土保持工程质量、投资、进度进行全面控制的条款。</w:t>
      </w:r>
    </w:p>
    <w:p>
      <w:pPr>
        <w:pStyle w:val="14"/>
        <w:spacing w:line="360" w:lineRule="auto"/>
        <w:ind w:firstLine="480" w:firstLineChars="200"/>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在水土保持工程监理实施过程中，监理单位应建立水土保持监理档案，随时留取施工过程中的临时防护措施影像资料</w:t>
      </w:r>
    </w:p>
    <w:p>
      <w:pPr>
        <w:pStyle w:val="4"/>
        <w:spacing w:before="120" w:after="120" w:line="360" w:lineRule="auto"/>
        <w:ind w:firstLine="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8.5水土保持施工</w:t>
      </w:r>
      <w:bookmarkEnd w:id="135"/>
      <w:bookmarkEnd w:id="136"/>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（1）建设期划定施工活动范围，严格控制和管理车辆机械的运行范围，不得随意行使，任意碾压。施工单位不得随意占地，防止扩大对地表的扰动范围。</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（2）设立保护地表及植被的警示牌。教育施工人员保护植被，保护地表，施工过程确需清除地表植被时，应尽量保留树木，尽量移栽使用。</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（3）注意施工及生活用火安全，防止火灾烧毁地表植被。</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（4）对泄洪防洪设施进行经常性检查维护，保证其防洪效果和通畅。</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（5）土建工程完工后，施工队伍撤离现场前，由当地水行政主管部门进行初步验收。</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（6）随时投入运行的水土保持工程应有明确的管理维护要求。</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（7）在主体工程施工招标文件和施工合同中应明确水土保持要求。</w:t>
      </w:r>
    </w:p>
    <w:p>
      <w:pPr>
        <w:pStyle w:val="4"/>
        <w:spacing w:before="120" w:after="120" w:line="360" w:lineRule="auto"/>
        <w:ind w:firstLine="0"/>
        <w:rPr>
          <w:rFonts w:ascii="Times New Roman" w:hAnsi="Times New Roman" w:eastAsia="仿宋_GB2312" w:cs="Times New Roman"/>
          <w:b/>
          <w:bCs/>
          <w:sz w:val="32"/>
          <w:szCs w:val="32"/>
        </w:rPr>
      </w:pPr>
      <w:bookmarkStart w:id="137" w:name="_Toc30785"/>
      <w:bookmarkStart w:id="138" w:name="_Toc5954"/>
      <w:r>
        <w:rPr>
          <w:rFonts w:ascii="Times New Roman" w:hAnsi="Times New Roman" w:eastAsia="仿宋_GB2312" w:cs="Times New Roman"/>
          <w:b/>
          <w:bCs/>
          <w:sz w:val="32"/>
          <w:szCs w:val="32"/>
        </w:rPr>
        <w:t>8.6水土保持设施验收</w:t>
      </w:r>
      <w:bookmarkEnd w:id="137"/>
      <w:bookmarkEnd w:id="138"/>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8.6.1检查</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建设单位应经常检查项目建设区水土流失防治情况及对周边的影响，制定行之有效的实施方案，若对周边造成直接影响时应及时处理。</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建设期间，由各级水行政主管部门对本项目水土保持方案的实施进行监督、检查，本项目水土保持管理机构予以配合，并按照监督检查提出的意见及时进行整改。</w:t>
      </w:r>
    </w:p>
    <w:p>
      <w:pPr>
        <w:pStyle w:val="5"/>
        <w:spacing w:before="0" w:after="120" w:line="360" w:lineRule="auto"/>
        <w:rPr>
          <w:rFonts w:ascii="Times New Roman" w:hAnsi="Times New Roman" w:eastAsia="仿宋_GB2312"/>
          <w:sz w:val="30"/>
          <w:szCs w:val="30"/>
        </w:rPr>
      </w:pPr>
      <w:r>
        <w:rPr>
          <w:rFonts w:ascii="Times New Roman" w:hAnsi="Times New Roman" w:eastAsia="仿宋_GB2312"/>
          <w:sz w:val="30"/>
          <w:szCs w:val="30"/>
        </w:rPr>
        <w:t>8.6.2验收</w:t>
      </w:r>
    </w:p>
    <w:p>
      <w:pPr>
        <w:widowControl/>
        <w:spacing w:line="360" w:lineRule="auto"/>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在主体工程竣工验收前，必须进行水土保持工程竣工验收，该专项验收由建设单位自行组织进行，竣工验收内容、程序执行《水利部关于加强事中事后监管规范生产建设项目水土保持设施自主验收的通知》（水保[2017]365号），竣工验收时必须提交《水土保持设施验收报告》、《水土保持设施验收鉴定书》、《水土保持监理总结报告》以及相关图件等。</w:t>
      </w:r>
    </w:p>
    <w:p>
      <w:pPr>
        <w:pStyle w:val="43"/>
        <w:adjustRightInd/>
        <w:snapToGrid/>
        <w:ind w:firstLine="480"/>
        <w:rPr>
          <w:rFonts w:hint="default"/>
          <w:bCs/>
          <w:lang w:val="en-US" w:eastAsia="zh-CN"/>
        </w:rPr>
      </w:pPr>
    </w:p>
    <w:sectPr>
      <w:headerReference r:id="rId6" w:type="default"/>
      <w:pgSz w:w="11906" w:h="16838"/>
      <w:pgMar w:top="1588" w:right="1503" w:bottom="1588" w:left="1503" w:header="1021" w:footer="907" w:gutter="0"/>
      <w:pgBorders>
        <w:top w:val="none" w:sz="0" w:space="0"/>
        <w:left w:val="none" w:sz="0" w:space="0"/>
        <w:bottom w:val="none" w:sz="0" w:space="0"/>
        <w:right w:val="none" w:sz="0" w:space="0"/>
      </w:pgBorders>
      <w:pgNumType w:fmt="numberInDash"/>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Cambria">
    <w:panose1 w:val="02040503050406030204"/>
    <w:charset w:val="00"/>
    <w:family w:val="roman"/>
    <w:pitch w:val="default"/>
    <w:sig w:usb0="E00002FF" w:usb1="400004FF" w:usb2="00000000" w:usb3="00000000" w:csb0="2000019F" w:csb1="00000000"/>
  </w:font>
  <w:font w:name="Times Roman">
    <w:altName w:val="Times New Roman"/>
    <w:panose1 w:val="00000000000000000000"/>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方正魏碑简体">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97717"/>
      <w:docPartObj>
        <w:docPartGallery w:val="autotext"/>
      </w:docPartObj>
    </w:sdtPr>
    <w:sdtEndPr>
      <w:rPr>
        <w:sz w:val="21"/>
        <w:szCs w:val="21"/>
      </w:rPr>
    </w:sdtEndPr>
    <w:sdtContent>
      <w:p>
        <w:pPr>
          <w:pStyle w:val="17"/>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w:t>
        </w:r>
        <w:r>
          <w:rPr>
            <w:sz w:val="21"/>
            <w:szCs w:val="21"/>
          </w:rPr>
          <w:t xml:space="preserve"> 11 -</w:t>
        </w:r>
        <w:r>
          <w:rPr>
            <w:sz w:val="21"/>
            <w:szCs w:val="21"/>
          </w:rPr>
          <w:fldChar w:fldCharType="end"/>
        </w:r>
      </w:p>
    </w:sdtContent>
  </w:sdt>
  <w:p>
    <w:pPr>
      <w:pStyle w:val="17"/>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3724E"/>
    <w:multiLevelType w:val="singleLevel"/>
    <w:tmpl w:val="2603724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hideSpellingErrors/>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01E0D"/>
    <w:rsid w:val="000004B5"/>
    <w:rsid w:val="00001AE7"/>
    <w:rsid w:val="00003CA0"/>
    <w:rsid w:val="000043F0"/>
    <w:rsid w:val="0000529C"/>
    <w:rsid w:val="000055CC"/>
    <w:rsid w:val="00007B97"/>
    <w:rsid w:val="00007DC7"/>
    <w:rsid w:val="0001034D"/>
    <w:rsid w:val="0001054D"/>
    <w:rsid w:val="0001240F"/>
    <w:rsid w:val="00014C0A"/>
    <w:rsid w:val="00016474"/>
    <w:rsid w:val="00017E26"/>
    <w:rsid w:val="00020A75"/>
    <w:rsid w:val="000213FA"/>
    <w:rsid w:val="000220B1"/>
    <w:rsid w:val="000226FE"/>
    <w:rsid w:val="00022982"/>
    <w:rsid w:val="00023450"/>
    <w:rsid w:val="000237A4"/>
    <w:rsid w:val="00023E7B"/>
    <w:rsid w:val="000249E4"/>
    <w:rsid w:val="00024A9E"/>
    <w:rsid w:val="00024B4F"/>
    <w:rsid w:val="00024CBA"/>
    <w:rsid w:val="00025095"/>
    <w:rsid w:val="00025448"/>
    <w:rsid w:val="00025DA3"/>
    <w:rsid w:val="00026314"/>
    <w:rsid w:val="00031657"/>
    <w:rsid w:val="00031859"/>
    <w:rsid w:val="00033758"/>
    <w:rsid w:val="0003396A"/>
    <w:rsid w:val="00035531"/>
    <w:rsid w:val="00037798"/>
    <w:rsid w:val="000379C5"/>
    <w:rsid w:val="0004058E"/>
    <w:rsid w:val="00040872"/>
    <w:rsid w:val="00041DAA"/>
    <w:rsid w:val="0004279B"/>
    <w:rsid w:val="00043F08"/>
    <w:rsid w:val="00043F18"/>
    <w:rsid w:val="0004400E"/>
    <w:rsid w:val="000441ED"/>
    <w:rsid w:val="0004551C"/>
    <w:rsid w:val="00045644"/>
    <w:rsid w:val="000456A7"/>
    <w:rsid w:val="000461E2"/>
    <w:rsid w:val="00046207"/>
    <w:rsid w:val="00046C99"/>
    <w:rsid w:val="00051424"/>
    <w:rsid w:val="00052340"/>
    <w:rsid w:val="000523C4"/>
    <w:rsid w:val="00052C3F"/>
    <w:rsid w:val="00053CB0"/>
    <w:rsid w:val="00054D33"/>
    <w:rsid w:val="00055138"/>
    <w:rsid w:val="0005555C"/>
    <w:rsid w:val="000555F6"/>
    <w:rsid w:val="00055686"/>
    <w:rsid w:val="00055807"/>
    <w:rsid w:val="000559AE"/>
    <w:rsid w:val="000559E6"/>
    <w:rsid w:val="000568AD"/>
    <w:rsid w:val="00060386"/>
    <w:rsid w:val="00060DAA"/>
    <w:rsid w:val="00060FE3"/>
    <w:rsid w:val="00062DB5"/>
    <w:rsid w:val="0006356E"/>
    <w:rsid w:val="00064BB2"/>
    <w:rsid w:val="00064C53"/>
    <w:rsid w:val="00065322"/>
    <w:rsid w:val="0006717D"/>
    <w:rsid w:val="00070A76"/>
    <w:rsid w:val="0007138B"/>
    <w:rsid w:val="00071BBB"/>
    <w:rsid w:val="00071DAF"/>
    <w:rsid w:val="000741D9"/>
    <w:rsid w:val="000751AD"/>
    <w:rsid w:val="00075867"/>
    <w:rsid w:val="0007597E"/>
    <w:rsid w:val="000774B4"/>
    <w:rsid w:val="000806CE"/>
    <w:rsid w:val="00080EA9"/>
    <w:rsid w:val="00080EDC"/>
    <w:rsid w:val="0008130C"/>
    <w:rsid w:val="00081813"/>
    <w:rsid w:val="0008211B"/>
    <w:rsid w:val="00082319"/>
    <w:rsid w:val="00082381"/>
    <w:rsid w:val="00083B4C"/>
    <w:rsid w:val="0008433C"/>
    <w:rsid w:val="00084B53"/>
    <w:rsid w:val="00086B82"/>
    <w:rsid w:val="00087B47"/>
    <w:rsid w:val="00092CEA"/>
    <w:rsid w:val="00093295"/>
    <w:rsid w:val="00093504"/>
    <w:rsid w:val="00093FE5"/>
    <w:rsid w:val="000945F9"/>
    <w:rsid w:val="00095167"/>
    <w:rsid w:val="00095EA5"/>
    <w:rsid w:val="0009701F"/>
    <w:rsid w:val="00097B6C"/>
    <w:rsid w:val="000A13B4"/>
    <w:rsid w:val="000A1732"/>
    <w:rsid w:val="000A2E3B"/>
    <w:rsid w:val="000A38A1"/>
    <w:rsid w:val="000A38DE"/>
    <w:rsid w:val="000A3A39"/>
    <w:rsid w:val="000A4631"/>
    <w:rsid w:val="000A684A"/>
    <w:rsid w:val="000A6A02"/>
    <w:rsid w:val="000A74CF"/>
    <w:rsid w:val="000B00E6"/>
    <w:rsid w:val="000B083D"/>
    <w:rsid w:val="000B0F74"/>
    <w:rsid w:val="000B1A00"/>
    <w:rsid w:val="000B1DAB"/>
    <w:rsid w:val="000B27E8"/>
    <w:rsid w:val="000B37CE"/>
    <w:rsid w:val="000B3BA5"/>
    <w:rsid w:val="000B3CEF"/>
    <w:rsid w:val="000B5401"/>
    <w:rsid w:val="000B62F5"/>
    <w:rsid w:val="000B6BD6"/>
    <w:rsid w:val="000B7E4C"/>
    <w:rsid w:val="000C0AA1"/>
    <w:rsid w:val="000C1607"/>
    <w:rsid w:val="000C20A6"/>
    <w:rsid w:val="000C2849"/>
    <w:rsid w:val="000C3763"/>
    <w:rsid w:val="000C558D"/>
    <w:rsid w:val="000C5CFC"/>
    <w:rsid w:val="000C5F7A"/>
    <w:rsid w:val="000C6230"/>
    <w:rsid w:val="000D0C0B"/>
    <w:rsid w:val="000D114E"/>
    <w:rsid w:val="000D251B"/>
    <w:rsid w:val="000D29BD"/>
    <w:rsid w:val="000D33C3"/>
    <w:rsid w:val="000D41A0"/>
    <w:rsid w:val="000D4973"/>
    <w:rsid w:val="000D5818"/>
    <w:rsid w:val="000D5899"/>
    <w:rsid w:val="000D5C1B"/>
    <w:rsid w:val="000D6452"/>
    <w:rsid w:val="000D674F"/>
    <w:rsid w:val="000D7006"/>
    <w:rsid w:val="000D7EF8"/>
    <w:rsid w:val="000E156C"/>
    <w:rsid w:val="000E3302"/>
    <w:rsid w:val="000E3A3B"/>
    <w:rsid w:val="000E42AD"/>
    <w:rsid w:val="000E566E"/>
    <w:rsid w:val="000E6BCD"/>
    <w:rsid w:val="000E7283"/>
    <w:rsid w:val="000F091C"/>
    <w:rsid w:val="000F0C03"/>
    <w:rsid w:val="000F0D33"/>
    <w:rsid w:val="000F11A7"/>
    <w:rsid w:val="000F2415"/>
    <w:rsid w:val="000F2671"/>
    <w:rsid w:val="000F2F6B"/>
    <w:rsid w:val="000F55ED"/>
    <w:rsid w:val="000F597D"/>
    <w:rsid w:val="000F6085"/>
    <w:rsid w:val="000F70B5"/>
    <w:rsid w:val="00100611"/>
    <w:rsid w:val="0010069A"/>
    <w:rsid w:val="0010098E"/>
    <w:rsid w:val="00101DB9"/>
    <w:rsid w:val="00102411"/>
    <w:rsid w:val="00103A1B"/>
    <w:rsid w:val="00105169"/>
    <w:rsid w:val="0010606D"/>
    <w:rsid w:val="001078EA"/>
    <w:rsid w:val="001079FA"/>
    <w:rsid w:val="00112123"/>
    <w:rsid w:val="00112726"/>
    <w:rsid w:val="0011360E"/>
    <w:rsid w:val="00113F78"/>
    <w:rsid w:val="0011702D"/>
    <w:rsid w:val="0012031C"/>
    <w:rsid w:val="001203AA"/>
    <w:rsid w:val="00120E6B"/>
    <w:rsid w:val="00121215"/>
    <w:rsid w:val="00121AC2"/>
    <w:rsid w:val="00121FF5"/>
    <w:rsid w:val="001225E9"/>
    <w:rsid w:val="001248A6"/>
    <w:rsid w:val="001249A3"/>
    <w:rsid w:val="00125391"/>
    <w:rsid w:val="00126D96"/>
    <w:rsid w:val="00127872"/>
    <w:rsid w:val="0013007E"/>
    <w:rsid w:val="001305FD"/>
    <w:rsid w:val="001324E6"/>
    <w:rsid w:val="00132B7E"/>
    <w:rsid w:val="0013311B"/>
    <w:rsid w:val="00133770"/>
    <w:rsid w:val="00134971"/>
    <w:rsid w:val="00135777"/>
    <w:rsid w:val="00135F31"/>
    <w:rsid w:val="0013613E"/>
    <w:rsid w:val="00136F33"/>
    <w:rsid w:val="00141583"/>
    <w:rsid w:val="001432E0"/>
    <w:rsid w:val="00143407"/>
    <w:rsid w:val="00143532"/>
    <w:rsid w:val="00145064"/>
    <w:rsid w:val="00145F5E"/>
    <w:rsid w:val="001460C2"/>
    <w:rsid w:val="001501CF"/>
    <w:rsid w:val="00150D19"/>
    <w:rsid w:val="00153C44"/>
    <w:rsid w:val="0015502D"/>
    <w:rsid w:val="0015571E"/>
    <w:rsid w:val="0015574F"/>
    <w:rsid w:val="00156B19"/>
    <w:rsid w:val="001579F9"/>
    <w:rsid w:val="00157CE4"/>
    <w:rsid w:val="00157FB8"/>
    <w:rsid w:val="001600D9"/>
    <w:rsid w:val="00160A40"/>
    <w:rsid w:val="00160A56"/>
    <w:rsid w:val="001631E5"/>
    <w:rsid w:val="00163F9E"/>
    <w:rsid w:val="001651B5"/>
    <w:rsid w:val="00165741"/>
    <w:rsid w:val="00165751"/>
    <w:rsid w:val="0016627D"/>
    <w:rsid w:val="0016680B"/>
    <w:rsid w:val="00166EDA"/>
    <w:rsid w:val="001707FA"/>
    <w:rsid w:val="00170D8E"/>
    <w:rsid w:val="001722F0"/>
    <w:rsid w:val="001725D4"/>
    <w:rsid w:val="0017261A"/>
    <w:rsid w:val="0017388B"/>
    <w:rsid w:val="00173962"/>
    <w:rsid w:val="0017519A"/>
    <w:rsid w:val="00175522"/>
    <w:rsid w:val="00175791"/>
    <w:rsid w:val="00175DB5"/>
    <w:rsid w:val="001767D2"/>
    <w:rsid w:val="0018084B"/>
    <w:rsid w:val="0018087F"/>
    <w:rsid w:val="001808FE"/>
    <w:rsid w:val="00180B0D"/>
    <w:rsid w:val="00181104"/>
    <w:rsid w:val="001819A8"/>
    <w:rsid w:val="001827F6"/>
    <w:rsid w:val="00182CCC"/>
    <w:rsid w:val="001832FF"/>
    <w:rsid w:val="00183B54"/>
    <w:rsid w:val="0018467D"/>
    <w:rsid w:val="00184CDD"/>
    <w:rsid w:val="00184D78"/>
    <w:rsid w:val="001863B0"/>
    <w:rsid w:val="0019237E"/>
    <w:rsid w:val="0019302F"/>
    <w:rsid w:val="00193E6E"/>
    <w:rsid w:val="0019511C"/>
    <w:rsid w:val="001952CA"/>
    <w:rsid w:val="001954BF"/>
    <w:rsid w:val="001959B7"/>
    <w:rsid w:val="00195BBC"/>
    <w:rsid w:val="00197E80"/>
    <w:rsid w:val="001A0D26"/>
    <w:rsid w:val="001A161F"/>
    <w:rsid w:val="001A172C"/>
    <w:rsid w:val="001A1766"/>
    <w:rsid w:val="001A331A"/>
    <w:rsid w:val="001A4104"/>
    <w:rsid w:val="001A4393"/>
    <w:rsid w:val="001A6955"/>
    <w:rsid w:val="001A6CE9"/>
    <w:rsid w:val="001A710C"/>
    <w:rsid w:val="001A7C10"/>
    <w:rsid w:val="001B03D0"/>
    <w:rsid w:val="001B0C8D"/>
    <w:rsid w:val="001B231B"/>
    <w:rsid w:val="001B2504"/>
    <w:rsid w:val="001B42F0"/>
    <w:rsid w:val="001B53FD"/>
    <w:rsid w:val="001C23B2"/>
    <w:rsid w:val="001C2A8C"/>
    <w:rsid w:val="001C2B72"/>
    <w:rsid w:val="001C2DA0"/>
    <w:rsid w:val="001C3126"/>
    <w:rsid w:val="001C4335"/>
    <w:rsid w:val="001C5068"/>
    <w:rsid w:val="001C570E"/>
    <w:rsid w:val="001C609E"/>
    <w:rsid w:val="001C6F92"/>
    <w:rsid w:val="001C7B3A"/>
    <w:rsid w:val="001D0545"/>
    <w:rsid w:val="001D22A0"/>
    <w:rsid w:val="001D45C7"/>
    <w:rsid w:val="001D5722"/>
    <w:rsid w:val="001D6228"/>
    <w:rsid w:val="001D6679"/>
    <w:rsid w:val="001D6884"/>
    <w:rsid w:val="001D70E1"/>
    <w:rsid w:val="001D730C"/>
    <w:rsid w:val="001E0D58"/>
    <w:rsid w:val="001E2238"/>
    <w:rsid w:val="001E3214"/>
    <w:rsid w:val="001E362C"/>
    <w:rsid w:val="001E4917"/>
    <w:rsid w:val="001E496A"/>
    <w:rsid w:val="001E5963"/>
    <w:rsid w:val="001E6559"/>
    <w:rsid w:val="001E7FC1"/>
    <w:rsid w:val="001F1CAD"/>
    <w:rsid w:val="001F1DF8"/>
    <w:rsid w:val="001F25B2"/>
    <w:rsid w:val="001F2BA7"/>
    <w:rsid w:val="001F38A6"/>
    <w:rsid w:val="001F38C1"/>
    <w:rsid w:val="001F3C46"/>
    <w:rsid w:val="001F417D"/>
    <w:rsid w:val="001F6A24"/>
    <w:rsid w:val="001F763C"/>
    <w:rsid w:val="001F7CF0"/>
    <w:rsid w:val="00200337"/>
    <w:rsid w:val="0020054D"/>
    <w:rsid w:val="00200714"/>
    <w:rsid w:val="00200A66"/>
    <w:rsid w:val="00200C08"/>
    <w:rsid w:val="002010BD"/>
    <w:rsid w:val="00202218"/>
    <w:rsid w:val="00202469"/>
    <w:rsid w:val="00204814"/>
    <w:rsid w:val="00205450"/>
    <w:rsid w:val="0020636C"/>
    <w:rsid w:val="002065E0"/>
    <w:rsid w:val="0021015B"/>
    <w:rsid w:val="00211576"/>
    <w:rsid w:val="0021314A"/>
    <w:rsid w:val="002137AD"/>
    <w:rsid w:val="00213E25"/>
    <w:rsid w:val="00215DD8"/>
    <w:rsid w:val="00216725"/>
    <w:rsid w:val="00220692"/>
    <w:rsid w:val="00220751"/>
    <w:rsid w:val="00220806"/>
    <w:rsid w:val="00221488"/>
    <w:rsid w:val="002215A4"/>
    <w:rsid w:val="00221849"/>
    <w:rsid w:val="00221D70"/>
    <w:rsid w:val="00221E0A"/>
    <w:rsid w:val="00222B97"/>
    <w:rsid w:val="0022356F"/>
    <w:rsid w:val="00223CA4"/>
    <w:rsid w:val="00224AFA"/>
    <w:rsid w:val="00224CE5"/>
    <w:rsid w:val="00225C76"/>
    <w:rsid w:val="00227DFB"/>
    <w:rsid w:val="00227FA3"/>
    <w:rsid w:val="00231C9F"/>
    <w:rsid w:val="00233043"/>
    <w:rsid w:val="002331D0"/>
    <w:rsid w:val="00234011"/>
    <w:rsid w:val="00234D27"/>
    <w:rsid w:val="00235695"/>
    <w:rsid w:val="002357C2"/>
    <w:rsid w:val="00235862"/>
    <w:rsid w:val="00235DC1"/>
    <w:rsid w:val="00236D13"/>
    <w:rsid w:val="00237574"/>
    <w:rsid w:val="002402D9"/>
    <w:rsid w:val="00240E22"/>
    <w:rsid w:val="00242083"/>
    <w:rsid w:val="00242972"/>
    <w:rsid w:val="00244076"/>
    <w:rsid w:val="002445B6"/>
    <w:rsid w:val="002447E0"/>
    <w:rsid w:val="002460B7"/>
    <w:rsid w:val="00247143"/>
    <w:rsid w:val="00247A43"/>
    <w:rsid w:val="00247E09"/>
    <w:rsid w:val="00251634"/>
    <w:rsid w:val="00251856"/>
    <w:rsid w:val="00251BA8"/>
    <w:rsid w:val="00251ED7"/>
    <w:rsid w:val="0025392E"/>
    <w:rsid w:val="00253A51"/>
    <w:rsid w:val="002542DF"/>
    <w:rsid w:val="00254D97"/>
    <w:rsid w:val="00255931"/>
    <w:rsid w:val="00255EA2"/>
    <w:rsid w:val="0025630C"/>
    <w:rsid w:val="0025715F"/>
    <w:rsid w:val="002574A7"/>
    <w:rsid w:val="00257AE5"/>
    <w:rsid w:val="00257F9D"/>
    <w:rsid w:val="002601D9"/>
    <w:rsid w:val="002623F1"/>
    <w:rsid w:val="0026347C"/>
    <w:rsid w:val="0026434D"/>
    <w:rsid w:val="0026442C"/>
    <w:rsid w:val="0026455A"/>
    <w:rsid w:val="00264CC1"/>
    <w:rsid w:val="00264DEC"/>
    <w:rsid w:val="002663A0"/>
    <w:rsid w:val="00266E42"/>
    <w:rsid w:val="00267E75"/>
    <w:rsid w:val="002713F4"/>
    <w:rsid w:val="002718C6"/>
    <w:rsid w:val="002720E3"/>
    <w:rsid w:val="002722FA"/>
    <w:rsid w:val="002727BC"/>
    <w:rsid w:val="002765A7"/>
    <w:rsid w:val="00277D34"/>
    <w:rsid w:val="00277EB4"/>
    <w:rsid w:val="00280E97"/>
    <w:rsid w:val="00282DA8"/>
    <w:rsid w:val="0028431D"/>
    <w:rsid w:val="0028442B"/>
    <w:rsid w:val="00284AC0"/>
    <w:rsid w:val="00285DA6"/>
    <w:rsid w:val="0028612B"/>
    <w:rsid w:val="002863AB"/>
    <w:rsid w:val="002863B9"/>
    <w:rsid w:val="002868A0"/>
    <w:rsid w:val="00286B72"/>
    <w:rsid w:val="00287A8B"/>
    <w:rsid w:val="00290165"/>
    <w:rsid w:val="002903B8"/>
    <w:rsid w:val="00291096"/>
    <w:rsid w:val="002915C8"/>
    <w:rsid w:val="00291D6B"/>
    <w:rsid w:val="00291DB5"/>
    <w:rsid w:val="00292756"/>
    <w:rsid w:val="00293630"/>
    <w:rsid w:val="00293ACE"/>
    <w:rsid w:val="00293ED3"/>
    <w:rsid w:val="00294C7C"/>
    <w:rsid w:val="00296905"/>
    <w:rsid w:val="00297A90"/>
    <w:rsid w:val="002A037E"/>
    <w:rsid w:val="002A14A7"/>
    <w:rsid w:val="002A21BC"/>
    <w:rsid w:val="002A2D0C"/>
    <w:rsid w:val="002A382B"/>
    <w:rsid w:val="002A396C"/>
    <w:rsid w:val="002A3B85"/>
    <w:rsid w:val="002A3C11"/>
    <w:rsid w:val="002A41F2"/>
    <w:rsid w:val="002A5D66"/>
    <w:rsid w:val="002A690B"/>
    <w:rsid w:val="002A76DA"/>
    <w:rsid w:val="002A7728"/>
    <w:rsid w:val="002B02F4"/>
    <w:rsid w:val="002B10C1"/>
    <w:rsid w:val="002B3156"/>
    <w:rsid w:val="002B3AA0"/>
    <w:rsid w:val="002B6152"/>
    <w:rsid w:val="002B6797"/>
    <w:rsid w:val="002B6B62"/>
    <w:rsid w:val="002B7E67"/>
    <w:rsid w:val="002C0786"/>
    <w:rsid w:val="002C1633"/>
    <w:rsid w:val="002C1E9B"/>
    <w:rsid w:val="002C2F9F"/>
    <w:rsid w:val="002C5D05"/>
    <w:rsid w:val="002C66DE"/>
    <w:rsid w:val="002C673E"/>
    <w:rsid w:val="002C6848"/>
    <w:rsid w:val="002C6A27"/>
    <w:rsid w:val="002C7513"/>
    <w:rsid w:val="002D03D6"/>
    <w:rsid w:val="002D2313"/>
    <w:rsid w:val="002D2339"/>
    <w:rsid w:val="002D38B8"/>
    <w:rsid w:val="002D58B4"/>
    <w:rsid w:val="002D5B9C"/>
    <w:rsid w:val="002E1AF3"/>
    <w:rsid w:val="002E23F9"/>
    <w:rsid w:val="002E2DE0"/>
    <w:rsid w:val="002E3511"/>
    <w:rsid w:val="002E48F1"/>
    <w:rsid w:val="002E57F8"/>
    <w:rsid w:val="002E5B1F"/>
    <w:rsid w:val="002E5C88"/>
    <w:rsid w:val="002E6928"/>
    <w:rsid w:val="002E710A"/>
    <w:rsid w:val="002E7AF9"/>
    <w:rsid w:val="002E7C1E"/>
    <w:rsid w:val="002F01E7"/>
    <w:rsid w:val="002F095E"/>
    <w:rsid w:val="002F1AED"/>
    <w:rsid w:val="002F2A22"/>
    <w:rsid w:val="002F2A39"/>
    <w:rsid w:val="002F333B"/>
    <w:rsid w:val="002F3DC2"/>
    <w:rsid w:val="002F46C4"/>
    <w:rsid w:val="00301B62"/>
    <w:rsid w:val="00303726"/>
    <w:rsid w:val="00303838"/>
    <w:rsid w:val="00304120"/>
    <w:rsid w:val="0030511F"/>
    <w:rsid w:val="00305886"/>
    <w:rsid w:val="00306110"/>
    <w:rsid w:val="00306461"/>
    <w:rsid w:val="003078DD"/>
    <w:rsid w:val="003106C4"/>
    <w:rsid w:val="00310D12"/>
    <w:rsid w:val="003110D3"/>
    <w:rsid w:val="00311A6F"/>
    <w:rsid w:val="00313981"/>
    <w:rsid w:val="00314164"/>
    <w:rsid w:val="003143EE"/>
    <w:rsid w:val="00314772"/>
    <w:rsid w:val="00314876"/>
    <w:rsid w:val="00315A90"/>
    <w:rsid w:val="00315DFB"/>
    <w:rsid w:val="00316516"/>
    <w:rsid w:val="0031726D"/>
    <w:rsid w:val="00321B4B"/>
    <w:rsid w:val="00321F3B"/>
    <w:rsid w:val="0032459F"/>
    <w:rsid w:val="00325687"/>
    <w:rsid w:val="003266CB"/>
    <w:rsid w:val="00326C00"/>
    <w:rsid w:val="00326C42"/>
    <w:rsid w:val="003271F9"/>
    <w:rsid w:val="0033166F"/>
    <w:rsid w:val="00331E3E"/>
    <w:rsid w:val="00331F5F"/>
    <w:rsid w:val="003321DD"/>
    <w:rsid w:val="003321FD"/>
    <w:rsid w:val="00332221"/>
    <w:rsid w:val="00332C19"/>
    <w:rsid w:val="00332D55"/>
    <w:rsid w:val="00333F55"/>
    <w:rsid w:val="0033435C"/>
    <w:rsid w:val="003348F3"/>
    <w:rsid w:val="00334910"/>
    <w:rsid w:val="00335155"/>
    <w:rsid w:val="003358E8"/>
    <w:rsid w:val="003363D4"/>
    <w:rsid w:val="0033731B"/>
    <w:rsid w:val="00337943"/>
    <w:rsid w:val="00337A72"/>
    <w:rsid w:val="00340FC3"/>
    <w:rsid w:val="00341C92"/>
    <w:rsid w:val="0034500F"/>
    <w:rsid w:val="003469FF"/>
    <w:rsid w:val="003471B5"/>
    <w:rsid w:val="00347274"/>
    <w:rsid w:val="0034752E"/>
    <w:rsid w:val="003475BC"/>
    <w:rsid w:val="00347BF0"/>
    <w:rsid w:val="00350128"/>
    <w:rsid w:val="00352E6D"/>
    <w:rsid w:val="00353961"/>
    <w:rsid w:val="00354A1C"/>
    <w:rsid w:val="0035530E"/>
    <w:rsid w:val="003564F3"/>
    <w:rsid w:val="00357DDC"/>
    <w:rsid w:val="003608EF"/>
    <w:rsid w:val="00361850"/>
    <w:rsid w:val="00361A92"/>
    <w:rsid w:val="00361C12"/>
    <w:rsid w:val="00362749"/>
    <w:rsid w:val="00362D35"/>
    <w:rsid w:val="0036321C"/>
    <w:rsid w:val="0036323F"/>
    <w:rsid w:val="0036376B"/>
    <w:rsid w:val="0036382B"/>
    <w:rsid w:val="00364AC6"/>
    <w:rsid w:val="00364E9A"/>
    <w:rsid w:val="003665F8"/>
    <w:rsid w:val="0037053E"/>
    <w:rsid w:val="00370B50"/>
    <w:rsid w:val="00371A16"/>
    <w:rsid w:val="003725E4"/>
    <w:rsid w:val="003725EC"/>
    <w:rsid w:val="00373157"/>
    <w:rsid w:val="00373298"/>
    <w:rsid w:val="003771E5"/>
    <w:rsid w:val="003777DD"/>
    <w:rsid w:val="00377E18"/>
    <w:rsid w:val="00380FBC"/>
    <w:rsid w:val="00381272"/>
    <w:rsid w:val="00382427"/>
    <w:rsid w:val="003834C5"/>
    <w:rsid w:val="00383AC2"/>
    <w:rsid w:val="00384941"/>
    <w:rsid w:val="003869D3"/>
    <w:rsid w:val="00387124"/>
    <w:rsid w:val="003871DF"/>
    <w:rsid w:val="003874FB"/>
    <w:rsid w:val="003914D7"/>
    <w:rsid w:val="00391A1B"/>
    <w:rsid w:val="0039350B"/>
    <w:rsid w:val="00393A07"/>
    <w:rsid w:val="00395223"/>
    <w:rsid w:val="0039545C"/>
    <w:rsid w:val="00395EA7"/>
    <w:rsid w:val="00396BAC"/>
    <w:rsid w:val="003A0ABA"/>
    <w:rsid w:val="003A0CF9"/>
    <w:rsid w:val="003A0D83"/>
    <w:rsid w:val="003A10AC"/>
    <w:rsid w:val="003A1B60"/>
    <w:rsid w:val="003A23A3"/>
    <w:rsid w:val="003A25F5"/>
    <w:rsid w:val="003A40E5"/>
    <w:rsid w:val="003A7267"/>
    <w:rsid w:val="003A77C7"/>
    <w:rsid w:val="003A78D3"/>
    <w:rsid w:val="003A7D6F"/>
    <w:rsid w:val="003B0038"/>
    <w:rsid w:val="003B1054"/>
    <w:rsid w:val="003B1FD7"/>
    <w:rsid w:val="003B25CC"/>
    <w:rsid w:val="003B3288"/>
    <w:rsid w:val="003B4242"/>
    <w:rsid w:val="003B42D5"/>
    <w:rsid w:val="003B465F"/>
    <w:rsid w:val="003B520B"/>
    <w:rsid w:val="003B52C9"/>
    <w:rsid w:val="003B562A"/>
    <w:rsid w:val="003B5DFB"/>
    <w:rsid w:val="003B5E51"/>
    <w:rsid w:val="003B6272"/>
    <w:rsid w:val="003B693E"/>
    <w:rsid w:val="003B7155"/>
    <w:rsid w:val="003B77FA"/>
    <w:rsid w:val="003B7CFA"/>
    <w:rsid w:val="003B7E62"/>
    <w:rsid w:val="003C1B23"/>
    <w:rsid w:val="003C21EF"/>
    <w:rsid w:val="003C29FC"/>
    <w:rsid w:val="003C3565"/>
    <w:rsid w:val="003C36C7"/>
    <w:rsid w:val="003C480F"/>
    <w:rsid w:val="003C5445"/>
    <w:rsid w:val="003C59C8"/>
    <w:rsid w:val="003C5A1D"/>
    <w:rsid w:val="003C615E"/>
    <w:rsid w:val="003C66DB"/>
    <w:rsid w:val="003C67EA"/>
    <w:rsid w:val="003C6AA1"/>
    <w:rsid w:val="003C7DC9"/>
    <w:rsid w:val="003C7EF6"/>
    <w:rsid w:val="003D02C6"/>
    <w:rsid w:val="003D02F1"/>
    <w:rsid w:val="003D0BFD"/>
    <w:rsid w:val="003D2329"/>
    <w:rsid w:val="003D2490"/>
    <w:rsid w:val="003D3C13"/>
    <w:rsid w:val="003D4792"/>
    <w:rsid w:val="003D4BF8"/>
    <w:rsid w:val="003D6524"/>
    <w:rsid w:val="003D66B4"/>
    <w:rsid w:val="003D7379"/>
    <w:rsid w:val="003D7453"/>
    <w:rsid w:val="003E2508"/>
    <w:rsid w:val="003E29A6"/>
    <w:rsid w:val="003E3A88"/>
    <w:rsid w:val="003E3C31"/>
    <w:rsid w:val="003E5EDE"/>
    <w:rsid w:val="003E7D2A"/>
    <w:rsid w:val="003F3030"/>
    <w:rsid w:val="003F3A10"/>
    <w:rsid w:val="003F3FC0"/>
    <w:rsid w:val="003F4A2F"/>
    <w:rsid w:val="003F514B"/>
    <w:rsid w:val="003F610D"/>
    <w:rsid w:val="003F6325"/>
    <w:rsid w:val="003F6357"/>
    <w:rsid w:val="003F6CA1"/>
    <w:rsid w:val="003F7305"/>
    <w:rsid w:val="004006EE"/>
    <w:rsid w:val="00402123"/>
    <w:rsid w:val="00402665"/>
    <w:rsid w:val="0040267B"/>
    <w:rsid w:val="00403B12"/>
    <w:rsid w:val="00403F64"/>
    <w:rsid w:val="00404C1A"/>
    <w:rsid w:val="00405D29"/>
    <w:rsid w:val="0040743E"/>
    <w:rsid w:val="00410D32"/>
    <w:rsid w:val="0041109F"/>
    <w:rsid w:val="00411D0C"/>
    <w:rsid w:val="00412667"/>
    <w:rsid w:val="0041288F"/>
    <w:rsid w:val="00413CC0"/>
    <w:rsid w:val="004147F7"/>
    <w:rsid w:val="00414E32"/>
    <w:rsid w:val="00420372"/>
    <w:rsid w:val="00420C2B"/>
    <w:rsid w:val="0042162A"/>
    <w:rsid w:val="00421945"/>
    <w:rsid w:val="00422865"/>
    <w:rsid w:val="0042394E"/>
    <w:rsid w:val="00423AB1"/>
    <w:rsid w:val="00423AE2"/>
    <w:rsid w:val="00424680"/>
    <w:rsid w:val="00426A12"/>
    <w:rsid w:val="00427A77"/>
    <w:rsid w:val="00430765"/>
    <w:rsid w:val="00430AD9"/>
    <w:rsid w:val="00431225"/>
    <w:rsid w:val="00432F98"/>
    <w:rsid w:val="004334BC"/>
    <w:rsid w:val="0043620E"/>
    <w:rsid w:val="0043650F"/>
    <w:rsid w:val="00436B77"/>
    <w:rsid w:val="00437041"/>
    <w:rsid w:val="004379AE"/>
    <w:rsid w:val="00437ED6"/>
    <w:rsid w:val="00440009"/>
    <w:rsid w:val="0044013D"/>
    <w:rsid w:val="004418D7"/>
    <w:rsid w:val="004419BF"/>
    <w:rsid w:val="00441A69"/>
    <w:rsid w:val="00441F91"/>
    <w:rsid w:val="004428CD"/>
    <w:rsid w:val="004429C8"/>
    <w:rsid w:val="00443186"/>
    <w:rsid w:val="004435BC"/>
    <w:rsid w:val="004435EE"/>
    <w:rsid w:val="00443D96"/>
    <w:rsid w:val="004442F5"/>
    <w:rsid w:val="00444738"/>
    <w:rsid w:val="00444DD3"/>
    <w:rsid w:val="00445C17"/>
    <w:rsid w:val="00446398"/>
    <w:rsid w:val="004466B6"/>
    <w:rsid w:val="00447FA0"/>
    <w:rsid w:val="0045029C"/>
    <w:rsid w:val="00450DF6"/>
    <w:rsid w:val="0045168F"/>
    <w:rsid w:val="00452879"/>
    <w:rsid w:val="004529E4"/>
    <w:rsid w:val="00453968"/>
    <w:rsid w:val="00453E46"/>
    <w:rsid w:val="00454344"/>
    <w:rsid w:val="00455743"/>
    <w:rsid w:val="0045590E"/>
    <w:rsid w:val="00455A06"/>
    <w:rsid w:val="00457229"/>
    <w:rsid w:val="0045769E"/>
    <w:rsid w:val="00457FEE"/>
    <w:rsid w:val="0046024A"/>
    <w:rsid w:val="0046029A"/>
    <w:rsid w:val="0046059B"/>
    <w:rsid w:val="004608ED"/>
    <w:rsid w:val="00461F60"/>
    <w:rsid w:val="00463001"/>
    <w:rsid w:val="00464248"/>
    <w:rsid w:val="00464E70"/>
    <w:rsid w:val="004661A9"/>
    <w:rsid w:val="004668F8"/>
    <w:rsid w:val="0046764C"/>
    <w:rsid w:val="00467DB1"/>
    <w:rsid w:val="00470AC3"/>
    <w:rsid w:val="00472282"/>
    <w:rsid w:val="00473341"/>
    <w:rsid w:val="00474244"/>
    <w:rsid w:val="00474DF2"/>
    <w:rsid w:val="004755AB"/>
    <w:rsid w:val="0047579F"/>
    <w:rsid w:val="00475995"/>
    <w:rsid w:val="00476C28"/>
    <w:rsid w:val="004800DA"/>
    <w:rsid w:val="00481386"/>
    <w:rsid w:val="00481928"/>
    <w:rsid w:val="004822B2"/>
    <w:rsid w:val="004831D2"/>
    <w:rsid w:val="0048332E"/>
    <w:rsid w:val="00484C9E"/>
    <w:rsid w:val="00485345"/>
    <w:rsid w:val="004857E3"/>
    <w:rsid w:val="00485BAC"/>
    <w:rsid w:val="00485C59"/>
    <w:rsid w:val="00487294"/>
    <w:rsid w:val="004875EE"/>
    <w:rsid w:val="00487864"/>
    <w:rsid w:val="004879B1"/>
    <w:rsid w:val="00490485"/>
    <w:rsid w:val="0049169F"/>
    <w:rsid w:val="00492126"/>
    <w:rsid w:val="004925F5"/>
    <w:rsid w:val="00493D78"/>
    <w:rsid w:val="004940FC"/>
    <w:rsid w:val="0049467C"/>
    <w:rsid w:val="00494B1E"/>
    <w:rsid w:val="00495A4F"/>
    <w:rsid w:val="00495CB4"/>
    <w:rsid w:val="004961A8"/>
    <w:rsid w:val="00497DC3"/>
    <w:rsid w:val="004A12ED"/>
    <w:rsid w:val="004A151B"/>
    <w:rsid w:val="004A28C3"/>
    <w:rsid w:val="004A3644"/>
    <w:rsid w:val="004A5885"/>
    <w:rsid w:val="004A7028"/>
    <w:rsid w:val="004A7656"/>
    <w:rsid w:val="004A7F30"/>
    <w:rsid w:val="004B0B20"/>
    <w:rsid w:val="004B1290"/>
    <w:rsid w:val="004B217C"/>
    <w:rsid w:val="004B3005"/>
    <w:rsid w:val="004B4034"/>
    <w:rsid w:val="004B48A9"/>
    <w:rsid w:val="004B4A00"/>
    <w:rsid w:val="004B56AF"/>
    <w:rsid w:val="004B5AF6"/>
    <w:rsid w:val="004B7B4F"/>
    <w:rsid w:val="004C0C3D"/>
    <w:rsid w:val="004C139F"/>
    <w:rsid w:val="004C1F0D"/>
    <w:rsid w:val="004C2B7D"/>
    <w:rsid w:val="004C30BB"/>
    <w:rsid w:val="004C3E30"/>
    <w:rsid w:val="004C5248"/>
    <w:rsid w:val="004C7801"/>
    <w:rsid w:val="004C7A50"/>
    <w:rsid w:val="004D022B"/>
    <w:rsid w:val="004D025C"/>
    <w:rsid w:val="004D04B2"/>
    <w:rsid w:val="004D080F"/>
    <w:rsid w:val="004D3158"/>
    <w:rsid w:val="004D4294"/>
    <w:rsid w:val="004D4F68"/>
    <w:rsid w:val="004D5678"/>
    <w:rsid w:val="004D56BB"/>
    <w:rsid w:val="004D6008"/>
    <w:rsid w:val="004D6174"/>
    <w:rsid w:val="004D7407"/>
    <w:rsid w:val="004D779E"/>
    <w:rsid w:val="004D798B"/>
    <w:rsid w:val="004D7A73"/>
    <w:rsid w:val="004E1678"/>
    <w:rsid w:val="004E304D"/>
    <w:rsid w:val="004E3686"/>
    <w:rsid w:val="004E3826"/>
    <w:rsid w:val="004E5157"/>
    <w:rsid w:val="004E6B96"/>
    <w:rsid w:val="004E7599"/>
    <w:rsid w:val="004E7A80"/>
    <w:rsid w:val="004F299B"/>
    <w:rsid w:val="004F38DD"/>
    <w:rsid w:val="004F4B5C"/>
    <w:rsid w:val="004F4DEF"/>
    <w:rsid w:val="004F57B9"/>
    <w:rsid w:val="004F5D41"/>
    <w:rsid w:val="004F65B5"/>
    <w:rsid w:val="004F65E6"/>
    <w:rsid w:val="00501526"/>
    <w:rsid w:val="005016BC"/>
    <w:rsid w:val="00501E0D"/>
    <w:rsid w:val="00502ECF"/>
    <w:rsid w:val="0050321A"/>
    <w:rsid w:val="00504932"/>
    <w:rsid w:val="00505641"/>
    <w:rsid w:val="005062A5"/>
    <w:rsid w:val="005065B7"/>
    <w:rsid w:val="005073F8"/>
    <w:rsid w:val="005079B3"/>
    <w:rsid w:val="00507BC1"/>
    <w:rsid w:val="00507F5A"/>
    <w:rsid w:val="00512A8D"/>
    <w:rsid w:val="00513A09"/>
    <w:rsid w:val="005156C0"/>
    <w:rsid w:val="00515935"/>
    <w:rsid w:val="00516A5A"/>
    <w:rsid w:val="005200A0"/>
    <w:rsid w:val="00520AA4"/>
    <w:rsid w:val="00520E14"/>
    <w:rsid w:val="00520E32"/>
    <w:rsid w:val="005210A0"/>
    <w:rsid w:val="005214C0"/>
    <w:rsid w:val="005218E0"/>
    <w:rsid w:val="00525994"/>
    <w:rsid w:val="00525DB0"/>
    <w:rsid w:val="00526EFE"/>
    <w:rsid w:val="005273BD"/>
    <w:rsid w:val="0052742D"/>
    <w:rsid w:val="005334EB"/>
    <w:rsid w:val="0053376B"/>
    <w:rsid w:val="00534F6D"/>
    <w:rsid w:val="00534F8C"/>
    <w:rsid w:val="00534FDA"/>
    <w:rsid w:val="0053511C"/>
    <w:rsid w:val="00535506"/>
    <w:rsid w:val="0053564B"/>
    <w:rsid w:val="00535A03"/>
    <w:rsid w:val="00535A85"/>
    <w:rsid w:val="005360D2"/>
    <w:rsid w:val="00540995"/>
    <w:rsid w:val="005416A2"/>
    <w:rsid w:val="00541C4C"/>
    <w:rsid w:val="0054229E"/>
    <w:rsid w:val="0054316C"/>
    <w:rsid w:val="0054353E"/>
    <w:rsid w:val="0054363A"/>
    <w:rsid w:val="005440EF"/>
    <w:rsid w:val="005443DD"/>
    <w:rsid w:val="005446B6"/>
    <w:rsid w:val="00544849"/>
    <w:rsid w:val="00544929"/>
    <w:rsid w:val="00545ACA"/>
    <w:rsid w:val="005462A3"/>
    <w:rsid w:val="005519EE"/>
    <w:rsid w:val="00551D94"/>
    <w:rsid w:val="00552434"/>
    <w:rsid w:val="00552967"/>
    <w:rsid w:val="00553459"/>
    <w:rsid w:val="0055472D"/>
    <w:rsid w:val="00554FB3"/>
    <w:rsid w:val="005554F1"/>
    <w:rsid w:val="00555A5E"/>
    <w:rsid w:val="00556BA3"/>
    <w:rsid w:val="00557D9F"/>
    <w:rsid w:val="00557E56"/>
    <w:rsid w:val="0056062E"/>
    <w:rsid w:val="00560793"/>
    <w:rsid w:val="00560A15"/>
    <w:rsid w:val="00561566"/>
    <w:rsid w:val="00562294"/>
    <w:rsid w:val="0056231E"/>
    <w:rsid w:val="00563770"/>
    <w:rsid w:val="005661BD"/>
    <w:rsid w:val="0056622C"/>
    <w:rsid w:val="005663A7"/>
    <w:rsid w:val="005665BB"/>
    <w:rsid w:val="00570373"/>
    <w:rsid w:val="00570A63"/>
    <w:rsid w:val="00570F92"/>
    <w:rsid w:val="00570F9E"/>
    <w:rsid w:val="00571273"/>
    <w:rsid w:val="0057134D"/>
    <w:rsid w:val="005716D9"/>
    <w:rsid w:val="005718C6"/>
    <w:rsid w:val="005731D2"/>
    <w:rsid w:val="0057341A"/>
    <w:rsid w:val="00574B90"/>
    <w:rsid w:val="00574BFE"/>
    <w:rsid w:val="00575FB1"/>
    <w:rsid w:val="00576B76"/>
    <w:rsid w:val="00577C00"/>
    <w:rsid w:val="00580874"/>
    <w:rsid w:val="00581341"/>
    <w:rsid w:val="005824FD"/>
    <w:rsid w:val="00583298"/>
    <w:rsid w:val="00583754"/>
    <w:rsid w:val="00585EEA"/>
    <w:rsid w:val="00587EAB"/>
    <w:rsid w:val="00587F61"/>
    <w:rsid w:val="0059241B"/>
    <w:rsid w:val="005959D9"/>
    <w:rsid w:val="00595B13"/>
    <w:rsid w:val="0059705B"/>
    <w:rsid w:val="00597395"/>
    <w:rsid w:val="00597F35"/>
    <w:rsid w:val="005A06DB"/>
    <w:rsid w:val="005A0721"/>
    <w:rsid w:val="005A0A7B"/>
    <w:rsid w:val="005A1618"/>
    <w:rsid w:val="005A307A"/>
    <w:rsid w:val="005A45A3"/>
    <w:rsid w:val="005A5497"/>
    <w:rsid w:val="005A5BFB"/>
    <w:rsid w:val="005A6250"/>
    <w:rsid w:val="005A6511"/>
    <w:rsid w:val="005A6C74"/>
    <w:rsid w:val="005A70FB"/>
    <w:rsid w:val="005B00FC"/>
    <w:rsid w:val="005B0129"/>
    <w:rsid w:val="005B08A5"/>
    <w:rsid w:val="005B0EF1"/>
    <w:rsid w:val="005B245A"/>
    <w:rsid w:val="005B32B3"/>
    <w:rsid w:val="005B50F5"/>
    <w:rsid w:val="005B52BC"/>
    <w:rsid w:val="005B7330"/>
    <w:rsid w:val="005B7D7C"/>
    <w:rsid w:val="005B7DA0"/>
    <w:rsid w:val="005C011A"/>
    <w:rsid w:val="005C0580"/>
    <w:rsid w:val="005C18FD"/>
    <w:rsid w:val="005C2C11"/>
    <w:rsid w:val="005C2F1F"/>
    <w:rsid w:val="005C3BF2"/>
    <w:rsid w:val="005C4279"/>
    <w:rsid w:val="005C44A7"/>
    <w:rsid w:val="005D0E5C"/>
    <w:rsid w:val="005D21C5"/>
    <w:rsid w:val="005D3080"/>
    <w:rsid w:val="005D344B"/>
    <w:rsid w:val="005D5175"/>
    <w:rsid w:val="005D5B06"/>
    <w:rsid w:val="005E1A92"/>
    <w:rsid w:val="005E211A"/>
    <w:rsid w:val="005E342E"/>
    <w:rsid w:val="005E393E"/>
    <w:rsid w:val="005E3FC8"/>
    <w:rsid w:val="005E41F5"/>
    <w:rsid w:val="005E431D"/>
    <w:rsid w:val="005E4BCB"/>
    <w:rsid w:val="005E4EE3"/>
    <w:rsid w:val="005E5215"/>
    <w:rsid w:val="005E5B59"/>
    <w:rsid w:val="005E5BE8"/>
    <w:rsid w:val="005E6DF5"/>
    <w:rsid w:val="005F029C"/>
    <w:rsid w:val="005F04A4"/>
    <w:rsid w:val="005F0801"/>
    <w:rsid w:val="005F0AA5"/>
    <w:rsid w:val="005F32F2"/>
    <w:rsid w:val="005F3463"/>
    <w:rsid w:val="005F37E9"/>
    <w:rsid w:val="005F3DA6"/>
    <w:rsid w:val="005F3F87"/>
    <w:rsid w:val="005F41DB"/>
    <w:rsid w:val="005F45E9"/>
    <w:rsid w:val="005F4C8B"/>
    <w:rsid w:val="005F7634"/>
    <w:rsid w:val="006011DA"/>
    <w:rsid w:val="00602427"/>
    <w:rsid w:val="0060242A"/>
    <w:rsid w:val="00602639"/>
    <w:rsid w:val="00602D28"/>
    <w:rsid w:val="006035E7"/>
    <w:rsid w:val="006040DD"/>
    <w:rsid w:val="0060516D"/>
    <w:rsid w:val="00605216"/>
    <w:rsid w:val="006067EB"/>
    <w:rsid w:val="00606DE8"/>
    <w:rsid w:val="00611DFE"/>
    <w:rsid w:val="0061242A"/>
    <w:rsid w:val="006126B9"/>
    <w:rsid w:val="00612FE2"/>
    <w:rsid w:val="0061316B"/>
    <w:rsid w:val="006138AC"/>
    <w:rsid w:val="00613D27"/>
    <w:rsid w:val="006146A7"/>
    <w:rsid w:val="006146D1"/>
    <w:rsid w:val="0061526C"/>
    <w:rsid w:val="00615760"/>
    <w:rsid w:val="00615C26"/>
    <w:rsid w:val="00616148"/>
    <w:rsid w:val="00616C21"/>
    <w:rsid w:val="00616E05"/>
    <w:rsid w:val="00617914"/>
    <w:rsid w:val="006204D1"/>
    <w:rsid w:val="00621184"/>
    <w:rsid w:val="00621202"/>
    <w:rsid w:val="00621496"/>
    <w:rsid w:val="006219AB"/>
    <w:rsid w:val="00621B4C"/>
    <w:rsid w:val="00621BE3"/>
    <w:rsid w:val="00622160"/>
    <w:rsid w:val="00622233"/>
    <w:rsid w:val="00623FA9"/>
    <w:rsid w:val="006245D9"/>
    <w:rsid w:val="0062497E"/>
    <w:rsid w:val="00624D12"/>
    <w:rsid w:val="00626215"/>
    <w:rsid w:val="00626EC7"/>
    <w:rsid w:val="00627DB0"/>
    <w:rsid w:val="00630E86"/>
    <w:rsid w:val="0063114E"/>
    <w:rsid w:val="006329AB"/>
    <w:rsid w:val="00632AD1"/>
    <w:rsid w:val="00633C30"/>
    <w:rsid w:val="00635791"/>
    <w:rsid w:val="00635A80"/>
    <w:rsid w:val="00636335"/>
    <w:rsid w:val="00637BC0"/>
    <w:rsid w:val="00640584"/>
    <w:rsid w:val="00640C6B"/>
    <w:rsid w:val="00640D21"/>
    <w:rsid w:val="00641E77"/>
    <w:rsid w:val="00642E79"/>
    <w:rsid w:val="006431D1"/>
    <w:rsid w:val="00643545"/>
    <w:rsid w:val="00644933"/>
    <w:rsid w:val="00644FAA"/>
    <w:rsid w:val="006462C5"/>
    <w:rsid w:val="00647088"/>
    <w:rsid w:val="00647286"/>
    <w:rsid w:val="00647F05"/>
    <w:rsid w:val="00651B80"/>
    <w:rsid w:val="00651FBA"/>
    <w:rsid w:val="006529C3"/>
    <w:rsid w:val="0065350E"/>
    <w:rsid w:val="00653864"/>
    <w:rsid w:val="00655485"/>
    <w:rsid w:val="00655F63"/>
    <w:rsid w:val="00656100"/>
    <w:rsid w:val="00656B42"/>
    <w:rsid w:val="00656F41"/>
    <w:rsid w:val="006578FE"/>
    <w:rsid w:val="00657E3D"/>
    <w:rsid w:val="00657E78"/>
    <w:rsid w:val="00660CF5"/>
    <w:rsid w:val="00661923"/>
    <w:rsid w:val="006625C5"/>
    <w:rsid w:val="00663DA6"/>
    <w:rsid w:val="00665246"/>
    <w:rsid w:val="006702BA"/>
    <w:rsid w:val="006705B9"/>
    <w:rsid w:val="00670809"/>
    <w:rsid w:val="00671553"/>
    <w:rsid w:val="0067232D"/>
    <w:rsid w:val="0067280D"/>
    <w:rsid w:val="00672C4A"/>
    <w:rsid w:val="006739FB"/>
    <w:rsid w:val="006741B1"/>
    <w:rsid w:val="006742D6"/>
    <w:rsid w:val="00674324"/>
    <w:rsid w:val="00674C0E"/>
    <w:rsid w:val="00674C2E"/>
    <w:rsid w:val="00675D1A"/>
    <w:rsid w:val="00675E83"/>
    <w:rsid w:val="00675EBB"/>
    <w:rsid w:val="00676B20"/>
    <w:rsid w:val="0067736A"/>
    <w:rsid w:val="006778BD"/>
    <w:rsid w:val="006808A5"/>
    <w:rsid w:val="00682F6B"/>
    <w:rsid w:val="00683963"/>
    <w:rsid w:val="00683D8E"/>
    <w:rsid w:val="00686355"/>
    <w:rsid w:val="00686406"/>
    <w:rsid w:val="0069008F"/>
    <w:rsid w:val="006901B7"/>
    <w:rsid w:val="00690832"/>
    <w:rsid w:val="0069092D"/>
    <w:rsid w:val="00690F4E"/>
    <w:rsid w:val="00691C35"/>
    <w:rsid w:val="00691DF8"/>
    <w:rsid w:val="0069338D"/>
    <w:rsid w:val="00693494"/>
    <w:rsid w:val="00693F7D"/>
    <w:rsid w:val="00695034"/>
    <w:rsid w:val="0069512A"/>
    <w:rsid w:val="0069592E"/>
    <w:rsid w:val="00696596"/>
    <w:rsid w:val="00696896"/>
    <w:rsid w:val="006A068B"/>
    <w:rsid w:val="006A0992"/>
    <w:rsid w:val="006A0CAE"/>
    <w:rsid w:val="006A0FED"/>
    <w:rsid w:val="006A16F7"/>
    <w:rsid w:val="006A2448"/>
    <w:rsid w:val="006A30F7"/>
    <w:rsid w:val="006A5238"/>
    <w:rsid w:val="006A584C"/>
    <w:rsid w:val="006A594B"/>
    <w:rsid w:val="006A702D"/>
    <w:rsid w:val="006B02CA"/>
    <w:rsid w:val="006B0D8E"/>
    <w:rsid w:val="006B1D62"/>
    <w:rsid w:val="006B2606"/>
    <w:rsid w:val="006B3248"/>
    <w:rsid w:val="006B4B69"/>
    <w:rsid w:val="006B5650"/>
    <w:rsid w:val="006B5E44"/>
    <w:rsid w:val="006C0EA0"/>
    <w:rsid w:val="006C1713"/>
    <w:rsid w:val="006C3330"/>
    <w:rsid w:val="006C3402"/>
    <w:rsid w:val="006C4582"/>
    <w:rsid w:val="006C4BFA"/>
    <w:rsid w:val="006C6367"/>
    <w:rsid w:val="006C6FA9"/>
    <w:rsid w:val="006D1130"/>
    <w:rsid w:val="006D2285"/>
    <w:rsid w:val="006D2CE3"/>
    <w:rsid w:val="006D4395"/>
    <w:rsid w:val="006D56ED"/>
    <w:rsid w:val="006D5A04"/>
    <w:rsid w:val="006D5A13"/>
    <w:rsid w:val="006D625C"/>
    <w:rsid w:val="006D69ED"/>
    <w:rsid w:val="006D6C4B"/>
    <w:rsid w:val="006D79DB"/>
    <w:rsid w:val="006E0940"/>
    <w:rsid w:val="006E10D0"/>
    <w:rsid w:val="006E18ED"/>
    <w:rsid w:val="006E1A5C"/>
    <w:rsid w:val="006E203F"/>
    <w:rsid w:val="006E2160"/>
    <w:rsid w:val="006E221C"/>
    <w:rsid w:val="006E5E89"/>
    <w:rsid w:val="006E69B1"/>
    <w:rsid w:val="006E7670"/>
    <w:rsid w:val="006E7B9A"/>
    <w:rsid w:val="006E7D23"/>
    <w:rsid w:val="006F0520"/>
    <w:rsid w:val="006F0787"/>
    <w:rsid w:val="006F143F"/>
    <w:rsid w:val="006F15CA"/>
    <w:rsid w:val="006F33AA"/>
    <w:rsid w:val="006F3B1E"/>
    <w:rsid w:val="006F3CC3"/>
    <w:rsid w:val="006F4CBC"/>
    <w:rsid w:val="006F4FD9"/>
    <w:rsid w:val="006F5C80"/>
    <w:rsid w:val="006F6B84"/>
    <w:rsid w:val="006F7978"/>
    <w:rsid w:val="007003C7"/>
    <w:rsid w:val="00702666"/>
    <w:rsid w:val="0070354F"/>
    <w:rsid w:val="007037C7"/>
    <w:rsid w:val="0070392F"/>
    <w:rsid w:val="00703AC7"/>
    <w:rsid w:val="00703D52"/>
    <w:rsid w:val="00703DDA"/>
    <w:rsid w:val="00704A49"/>
    <w:rsid w:val="00704A9B"/>
    <w:rsid w:val="00706B24"/>
    <w:rsid w:val="00707327"/>
    <w:rsid w:val="007073C6"/>
    <w:rsid w:val="007073E2"/>
    <w:rsid w:val="00707472"/>
    <w:rsid w:val="00707639"/>
    <w:rsid w:val="00707823"/>
    <w:rsid w:val="007124E3"/>
    <w:rsid w:val="007127A1"/>
    <w:rsid w:val="00713700"/>
    <w:rsid w:val="0071415A"/>
    <w:rsid w:val="007143DA"/>
    <w:rsid w:val="00715000"/>
    <w:rsid w:val="007152CD"/>
    <w:rsid w:val="00720FA2"/>
    <w:rsid w:val="007223ED"/>
    <w:rsid w:val="00722551"/>
    <w:rsid w:val="0072498D"/>
    <w:rsid w:val="00724E5E"/>
    <w:rsid w:val="007254C3"/>
    <w:rsid w:val="007258D6"/>
    <w:rsid w:val="00725F90"/>
    <w:rsid w:val="0072621D"/>
    <w:rsid w:val="00726594"/>
    <w:rsid w:val="00726CB0"/>
    <w:rsid w:val="007301E4"/>
    <w:rsid w:val="00730309"/>
    <w:rsid w:val="00730697"/>
    <w:rsid w:val="00730877"/>
    <w:rsid w:val="00730FD2"/>
    <w:rsid w:val="007310F3"/>
    <w:rsid w:val="00735781"/>
    <w:rsid w:val="0073695D"/>
    <w:rsid w:val="00737062"/>
    <w:rsid w:val="007405A0"/>
    <w:rsid w:val="007408DC"/>
    <w:rsid w:val="00740945"/>
    <w:rsid w:val="00743C41"/>
    <w:rsid w:val="00743CCA"/>
    <w:rsid w:val="0074448B"/>
    <w:rsid w:val="00745214"/>
    <w:rsid w:val="0074569F"/>
    <w:rsid w:val="00745707"/>
    <w:rsid w:val="00745C58"/>
    <w:rsid w:val="0074686E"/>
    <w:rsid w:val="00746972"/>
    <w:rsid w:val="00746AFA"/>
    <w:rsid w:val="00747836"/>
    <w:rsid w:val="00750A54"/>
    <w:rsid w:val="00751660"/>
    <w:rsid w:val="00751ABE"/>
    <w:rsid w:val="007523A8"/>
    <w:rsid w:val="00752883"/>
    <w:rsid w:val="007528F6"/>
    <w:rsid w:val="00752C35"/>
    <w:rsid w:val="007530A2"/>
    <w:rsid w:val="00753210"/>
    <w:rsid w:val="00753E2A"/>
    <w:rsid w:val="00754651"/>
    <w:rsid w:val="00754B47"/>
    <w:rsid w:val="007560F1"/>
    <w:rsid w:val="0075616F"/>
    <w:rsid w:val="00756CA0"/>
    <w:rsid w:val="0075714E"/>
    <w:rsid w:val="007601A4"/>
    <w:rsid w:val="0076063D"/>
    <w:rsid w:val="00761706"/>
    <w:rsid w:val="0076171C"/>
    <w:rsid w:val="00762038"/>
    <w:rsid w:val="007621EA"/>
    <w:rsid w:val="00762E77"/>
    <w:rsid w:val="00764176"/>
    <w:rsid w:val="00764D67"/>
    <w:rsid w:val="0076568F"/>
    <w:rsid w:val="007658DF"/>
    <w:rsid w:val="00766EDC"/>
    <w:rsid w:val="007702B8"/>
    <w:rsid w:val="00770CD4"/>
    <w:rsid w:val="00771683"/>
    <w:rsid w:val="007720D9"/>
    <w:rsid w:val="00772FCA"/>
    <w:rsid w:val="00773328"/>
    <w:rsid w:val="00775C62"/>
    <w:rsid w:val="00775F0D"/>
    <w:rsid w:val="00776620"/>
    <w:rsid w:val="00776BBE"/>
    <w:rsid w:val="0078021E"/>
    <w:rsid w:val="00780F95"/>
    <w:rsid w:val="00781063"/>
    <w:rsid w:val="00781E02"/>
    <w:rsid w:val="00781F6D"/>
    <w:rsid w:val="0078242C"/>
    <w:rsid w:val="00782A11"/>
    <w:rsid w:val="007834FB"/>
    <w:rsid w:val="00783791"/>
    <w:rsid w:val="00784881"/>
    <w:rsid w:val="00784F20"/>
    <w:rsid w:val="00785FB1"/>
    <w:rsid w:val="00786E52"/>
    <w:rsid w:val="0078740D"/>
    <w:rsid w:val="007916D0"/>
    <w:rsid w:val="00791F38"/>
    <w:rsid w:val="00792121"/>
    <w:rsid w:val="0079693F"/>
    <w:rsid w:val="00796C68"/>
    <w:rsid w:val="00796F6A"/>
    <w:rsid w:val="007A11AB"/>
    <w:rsid w:val="007A1270"/>
    <w:rsid w:val="007A3FD5"/>
    <w:rsid w:val="007A4FE7"/>
    <w:rsid w:val="007A5816"/>
    <w:rsid w:val="007A5BAF"/>
    <w:rsid w:val="007A5CEC"/>
    <w:rsid w:val="007A613E"/>
    <w:rsid w:val="007A69DE"/>
    <w:rsid w:val="007A6D53"/>
    <w:rsid w:val="007A72C0"/>
    <w:rsid w:val="007B0BAC"/>
    <w:rsid w:val="007B0FBC"/>
    <w:rsid w:val="007B11B5"/>
    <w:rsid w:val="007B182E"/>
    <w:rsid w:val="007B1A44"/>
    <w:rsid w:val="007B1CC7"/>
    <w:rsid w:val="007B2340"/>
    <w:rsid w:val="007B23DA"/>
    <w:rsid w:val="007B2AAA"/>
    <w:rsid w:val="007B509B"/>
    <w:rsid w:val="007B6173"/>
    <w:rsid w:val="007B733B"/>
    <w:rsid w:val="007B75CD"/>
    <w:rsid w:val="007C05E1"/>
    <w:rsid w:val="007C07A0"/>
    <w:rsid w:val="007C0E86"/>
    <w:rsid w:val="007C31A8"/>
    <w:rsid w:val="007C343E"/>
    <w:rsid w:val="007C3620"/>
    <w:rsid w:val="007C3F4A"/>
    <w:rsid w:val="007C4C13"/>
    <w:rsid w:val="007C5AF2"/>
    <w:rsid w:val="007C7118"/>
    <w:rsid w:val="007C71D4"/>
    <w:rsid w:val="007C773B"/>
    <w:rsid w:val="007C7F16"/>
    <w:rsid w:val="007D0DBA"/>
    <w:rsid w:val="007D18B2"/>
    <w:rsid w:val="007D3148"/>
    <w:rsid w:val="007D3DC9"/>
    <w:rsid w:val="007D4D48"/>
    <w:rsid w:val="007D72B0"/>
    <w:rsid w:val="007E070B"/>
    <w:rsid w:val="007E0B56"/>
    <w:rsid w:val="007E0ED8"/>
    <w:rsid w:val="007E15B1"/>
    <w:rsid w:val="007E1F50"/>
    <w:rsid w:val="007E2D5E"/>
    <w:rsid w:val="007E2D8F"/>
    <w:rsid w:val="007E335C"/>
    <w:rsid w:val="007E3E67"/>
    <w:rsid w:val="007E4B23"/>
    <w:rsid w:val="007E553C"/>
    <w:rsid w:val="007E60AE"/>
    <w:rsid w:val="007E666A"/>
    <w:rsid w:val="007E6A66"/>
    <w:rsid w:val="007E6CF6"/>
    <w:rsid w:val="007E78FA"/>
    <w:rsid w:val="007E7ADE"/>
    <w:rsid w:val="007E7DF1"/>
    <w:rsid w:val="007F06FE"/>
    <w:rsid w:val="007F106E"/>
    <w:rsid w:val="007F1299"/>
    <w:rsid w:val="007F16AF"/>
    <w:rsid w:val="007F256B"/>
    <w:rsid w:val="007F395E"/>
    <w:rsid w:val="007F4067"/>
    <w:rsid w:val="007F5B95"/>
    <w:rsid w:val="007F6B92"/>
    <w:rsid w:val="008002A5"/>
    <w:rsid w:val="00800A0B"/>
    <w:rsid w:val="00801239"/>
    <w:rsid w:val="008015F8"/>
    <w:rsid w:val="00801A02"/>
    <w:rsid w:val="00803157"/>
    <w:rsid w:val="0080341A"/>
    <w:rsid w:val="00803D60"/>
    <w:rsid w:val="00804CDB"/>
    <w:rsid w:val="008057BA"/>
    <w:rsid w:val="00805C08"/>
    <w:rsid w:val="0080611D"/>
    <w:rsid w:val="008064A1"/>
    <w:rsid w:val="0080654A"/>
    <w:rsid w:val="008066CE"/>
    <w:rsid w:val="00807F71"/>
    <w:rsid w:val="0081202F"/>
    <w:rsid w:val="00813013"/>
    <w:rsid w:val="008136D0"/>
    <w:rsid w:val="00814148"/>
    <w:rsid w:val="00814992"/>
    <w:rsid w:val="00814A9D"/>
    <w:rsid w:val="0081543A"/>
    <w:rsid w:val="0081790F"/>
    <w:rsid w:val="0082046B"/>
    <w:rsid w:val="00821706"/>
    <w:rsid w:val="00821B10"/>
    <w:rsid w:val="00824461"/>
    <w:rsid w:val="0082455C"/>
    <w:rsid w:val="00824EBB"/>
    <w:rsid w:val="008258C2"/>
    <w:rsid w:val="00825C80"/>
    <w:rsid w:val="00826EAA"/>
    <w:rsid w:val="008301DF"/>
    <w:rsid w:val="00831126"/>
    <w:rsid w:val="008335CE"/>
    <w:rsid w:val="00833FC1"/>
    <w:rsid w:val="00834CBC"/>
    <w:rsid w:val="0083648C"/>
    <w:rsid w:val="00837264"/>
    <w:rsid w:val="00841943"/>
    <w:rsid w:val="0084204D"/>
    <w:rsid w:val="0084233F"/>
    <w:rsid w:val="00842EC9"/>
    <w:rsid w:val="00843947"/>
    <w:rsid w:val="0084448C"/>
    <w:rsid w:val="00845B69"/>
    <w:rsid w:val="00847777"/>
    <w:rsid w:val="00847F1D"/>
    <w:rsid w:val="00851982"/>
    <w:rsid w:val="00852F6C"/>
    <w:rsid w:val="00853359"/>
    <w:rsid w:val="00853422"/>
    <w:rsid w:val="0085356F"/>
    <w:rsid w:val="00853E07"/>
    <w:rsid w:val="00854805"/>
    <w:rsid w:val="008563C9"/>
    <w:rsid w:val="008564A4"/>
    <w:rsid w:val="00856994"/>
    <w:rsid w:val="00857990"/>
    <w:rsid w:val="00861460"/>
    <w:rsid w:val="008620FD"/>
    <w:rsid w:val="0086277E"/>
    <w:rsid w:val="00862920"/>
    <w:rsid w:val="0086348C"/>
    <w:rsid w:val="00863907"/>
    <w:rsid w:val="008639DA"/>
    <w:rsid w:val="00864526"/>
    <w:rsid w:val="00865133"/>
    <w:rsid w:val="008654C2"/>
    <w:rsid w:val="00865A9E"/>
    <w:rsid w:val="00870144"/>
    <w:rsid w:val="00870638"/>
    <w:rsid w:val="00870B22"/>
    <w:rsid w:val="00870B64"/>
    <w:rsid w:val="00871A2F"/>
    <w:rsid w:val="00871BA6"/>
    <w:rsid w:val="00871CCF"/>
    <w:rsid w:val="00872DB1"/>
    <w:rsid w:val="00874577"/>
    <w:rsid w:val="00875E2E"/>
    <w:rsid w:val="008763B3"/>
    <w:rsid w:val="00876875"/>
    <w:rsid w:val="00877170"/>
    <w:rsid w:val="00877BBC"/>
    <w:rsid w:val="0088095B"/>
    <w:rsid w:val="00880C43"/>
    <w:rsid w:val="0088194E"/>
    <w:rsid w:val="00883499"/>
    <w:rsid w:val="00884353"/>
    <w:rsid w:val="00885853"/>
    <w:rsid w:val="00885A71"/>
    <w:rsid w:val="00885FB4"/>
    <w:rsid w:val="00886D10"/>
    <w:rsid w:val="008873E2"/>
    <w:rsid w:val="00887E80"/>
    <w:rsid w:val="008916EC"/>
    <w:rsid w:val="0089187E"/>
    <w:rsid w:val="00894930"/>
    <w:rsid w:val="0089570F"/>
    <w:rsid w:val="0089571D"/>
    <w:rsid w:val="0089683F"/>
    <w:rsid w:val="00896AB4"/>
    <w:rsid w:val="008A041F"/>
    <w:rsid w:val="008A0A4C"/>
    <w:rsid w:val="008A0D2F"/>
    <w:rsid w:val="008A14F1"/>
    <w:rsid w:val="008A1FAA"/>
    <w:rsid w:val="008A3998"/>
    <w:rsid w:val="008A3AE8"/>
    <w:rsid w:val="008A45E7"/>
    <w:rsid w:val="008A5638"/>
    <w:rsid w:val="008A5D24"/>
    <w:rsid w:val="008A6CEA"/>
    <w:rsid w:val="008A6E2D"/>
    <w:rsid w:val="008A7F16"/>
    <w:rsid w:val="008B07DD"/>
    <w:rsid w:val="008B0941"/>
    <w:rsid w:val="008B0AF4"/>
    <w:rsid w:val="008B1910"/>
    <w:rsid w:val="008B1CC2"/>
    <w:rsid w:val="008B2033"/>
    <w:rsid w:val="008B305D"/>
    <w:rsid w:val="008B3C18"/>
    <w:rsid w:val="008B5BEA"/>
    <w:rsid w:val="008B6355"/>
    <w:rsid w:val="008B6978"/>
    <w:rsid w:val="008B7C87"/>
    <w:rsid w:val="008B7E65"/>
    <w:rsid w:val="008C056F"/>
    <w:rsid w:val="008C0B49"/>
    <w:rsid w:val="008C14C4"/>
    <w:rsid w:val="008C18FC"/>
    <w:rsid w:val="008C2654"/>
    <w:rsid w:val="008C27A7"/>
    <w:rsid w:val="008C2A0E"/>
    <w:rsid w:val="008C2F17"/>
    <w:rsid w:val="008C3A17"/>
    <w:rsid w:val="008C4133"/>
    <w:rsid w:val="008C4232"/>
    <w:rsid w:val="008C47C2"/>
    <w:rsid w:val="008C4842"/>
    <w:rsid w:val="008C48D7"/>
    <w:rsid w:val="008C5397"/>
    <w:rsid w:val="008C5683"/>
    <w:rsid w:val="008C5D5E"/>
    <w:rsid w:val="008C6E73"/>
    <w:rsid w:val="008C7405"/>
    <w:rsid w:val="008C7445"/>
    <w:rsid w:val="008C7854"/>
    <w:rsid w:val="008D05FD"/>
    <w:rsid w:val="008D16DF"/>
    <w:rsid w:val="008D27BD"/>
    <w:rsid w:val="008D3115"/>
    <w:rsid w:val="008D4768"/>
    <w:rsid w:val="008D5733"/>
    <w:rsid w:val="008D6A58"/>
    <w:rsid w:val="008D799B"/>
    <w:rsid w:val="008D7C8B"/>
    <w:rsid w:val="008D7DDB"/>
    <w:rsid w:val="008E016F"/>
    <w:rsid w:val="008E0D16"/>
    <w:rsid w:val="008E0ED5"/>
    <w:rsid w:val="008E18F9"/>
    <w:rsid w:val="008E2ACC"/>
    <w:rsid w:val="008E4CBA"/>
    <w:rsid w:val="008E4D9C"/>
    <w:rsid w:val="008E4E59"/>
    <w:rsid w:val="008E5BBC"/>
    <w:rsid w:val="008E6780"/>
    <w:rsid w:val="008E7192"/>
    <w:rsid w:val="008E74A0"/>
    <w:rsid w:val="008E74F8"/>
    <w:rsid w:val="008F1B8B"/>
    <w:rsid w:val="008F1EE7"/>
    <w:rsid w:val="008F2124"/>
    <w:rsid w:val="008F2490"/>
    <w:rsid w:val="008F42C6"/>
    <w:rsid w:val="008F47DF"/>
    <w:rsid w:val="008F573C"/>
    <w:rsid w:val="008F60FF"/>
    <w:rsid w:val="008F62C6"/>
    <w:rsid w:val="008F64D3"/>
    <w:rsid w:val="008F6C5E"/>
    <w:rsid w:val="008F7A4B"/>
    <w:rsid w:val="008F7C63"/>
    <w:rsid w:val="00900010"/>
    <w:rsid w:val="0090026D"/>
    <w:rsid w:val="00900B7B"/>
    <w:rsid w:val="00901718"/>
    <w:rsid w:val="009020D3"/>
    <w:rsid w:val="009020E6"/>
    <w:rsid w:val="00903221"/>
    <w:rsid w:val="00904565"/>
    <w:rsid w:val="0090578C"/>
    <w:rsid w:val="00906E57"/>
    <w:rsid w:val="00907167"/>
    <w:rsid w:val="00911CF6"/>
    <w:rsid w:val="009120C5"/>
    <w:rsid w:val="00913DD2"/>
    <w:rsid w:val="009144AE"/>
    <w:rsid w:val="009149B2"/>
    <w:rsid w:val="009158C4"/>
    <w:rsid w:val="00916484"/>
    <w:rsid w:val="0092318B"/>
    <w:rsid w:val="00923A4E"/>
    <w:rsid w:val="00923FCF"/>
    <w:rsid w:val="0092511B"/>
    <w:rsid w:val="009253A1"/>
    <w:rsid w:val="00926C35"/>
    <w:rsid w:val="00927319"/>
    <w:rsid w:val="009276EC"/>
    <w:rsid w:val="00930064"/>
    <w:rsid w:val="00931A53"/>
    <w:rsid w:val="00931E7A"/>
    <w:rsid w:val="0093259E"/>
    <w:rsid w:val="00932A78"/>
    <w:rsid w:val="0093314C"/>
    <w:rsid w:val="00934A55"/>
    <w:rsid w:val="00935856"/>
    <w:rsid w:val="00935BB6"/>
    <w:rsid w:val="00935D64"/>
    <w:rsid w:val="00936079"/>
    <w:rsid w:val="00936085"/>
    <w:rsid w:val="00936B75"/>
    <w:rsid w:val="009403AF"/>
    <w:rsid w:val="00940427"/>
    <w:rsid w:val="0094217E"/>
    <w:rsid w:val="00944B02"/>
    <w:rsid w:val="0094504F"/>
    <w:rsid w:val="009450B6"/>
    <w:rsid w:val="00945C19"/>
    <w:rsid w:val="00945F30"/>
    <w:rsid w:val="00946F0F"/>
    <w:rsid w:val="00946F9C"/>
    <w:rsid w:val="00947517"/>
    <w:rsid w:val="00947E1B"/>
    <w:rsid w:val="00950AFC"/>
    <w:rsid w:val="009511C6"/>
    <w:rsid w:val="0095295B"/>
    <w:rsid w:val="00953256"/>
    <w:rsid w:val="00954069"/>
    <w:rsid w:val="009544F7"/>
    <w:rsid w:val="009550FE"/>
    <w:rsid w:val="00955179"/>
    <w:rsid w:val="00956014"/>
    <w:rsid w:val="009568F5"/>
    <w:rsid w:val="00956F53"/>
    <w:rsid w:val="00960466"/>
    <w:rsid w:val="00960C9B"/>
    <w:rsid w:val="0096284C"/>
    <w:rsid w:val="00962F8E"/>
    <w:rsid w:val="0096305E"/>
    <w:rsid w:val="0096347F"/>
    <w:rsid w:val="009634B8"/>
    <w:rsid w:val="00963AC1"/>
    <w:rsid w:val="009659F4"/>
    <w:rsid w:val="00966E90"/>
    <w:rsid w:val="009674DD"/>
    <w:rsid w:val="00967927"/>
    <w:rsid w:val="00970480"/>
    <w:rsid w:val="00970774"/>
    <w:rsid w:val="0097241A"/>
    <w:rsid w:val="0097254A"/>
    <w:rsid w:val="009729F1"/>
    <w:rsid w:val="0097460F"/>
    <w:rsid w:val="00976BD1"/>
    <w:rsid w:val="0097703C"/>
    <w:rsid w:val="009772A9"/>
    <w:rsid w:val="00977754"/>
    <w:rsid w:val="0098105C"/>
    <w:rsid w:val="0098184E"/>
    <w:rsid w:val="00983D30"/>
    <w:rsid w:val="00984D6C"/>
    <w:rsid w:val="00984E36"/>
    <w:rsid w:val="00985527"/>
    <w:rsid w:val="00985EC6"/>
    <w:rsid w:val="00986146"/>
    <w:rsid w:val="009861BC"/>
    <w:rsid w:val="009861ED"/>
    <w:rsid w:val="009867A4"/>
    <w:rsid w:val="00986CE9"/>
    <w:rsid w:val="00986D48"/>
    <w:rsid w:val="00987A3F"/>
    <w:rsid w:val="009908DC"/>
    <w:rsid w:val="009910F0"/>
    <w:rsid w:val="00991116"/>
    <w:rsid w:val="009912D0"/>
    <w:rsid w:val="00991984"/>
    <w:rsid w:val="0099286A"/>
    <w:rsid w:val="00992E31"/>
    <w:rsid w:val="009930AA"/>
    <w:rsid w:val="00993D2D"/>
    <w:rsid w:val="00995826"/>
    <w:rsid w:val="009960A3"/>
    <w:rsid w:val="00996946"/>
    <w:rsid w:val="00996FFF"/>
    <w:rsid w:val="00997342"/>
    <w:rsid w:val="00997EBA"/>
    <w:rsid w:val="009A0551"/>
    <w:rsid w:val="009A05AF"/>
    <w:rsid w:val="009A20F9"/>
    <w:rsid w:val="009A2AFE"/>
    <w:rsid w:val="009A3041"/>
    <w:rsid w:val="009A3992"/>
    <w:rsid w:val="009A4575"/>
    <w:rsid w:val="009A6393"/>
    <w:rsid w:val="009A6565"/>
    <w:rsid w:val="009A69A3"/>
    <w:rsid w:val="009A6D83"/>
    <w:rsid w:val="009A7172"/>
    <w:rsid w:val="009A7583"/>
    <w:rsid w:val="009B092F"/>
    <w:rsid w:val="009B5DE4"/>
    <w:rsid w:val="009B637C"/>
    <w:rsid w:val="009B792E"/>
    <w:rsid w:val="009C001E"/>
    <w:rsid w:val="009C0364"/>
    <w:rsid w:val="009C04A0"/>
    <w:rsid w:val="009C1586"/>
    <w:rsid w:val="009C1785"/>
    <w:rsid w:val="009C1E76"/>
    <w:rsid w:val="009C2787"/>
    <w:rsid w:val="009C2B43"/>
    <w:rsid w:val="009C3045"/>
    <w:rsid w:val="009C368B"/>
    <w:rsid w:val="009C4E5C"/>
    <w:rsid w:val="009C6570"/>
    <w:rsid w:val="009C7005"/>
    <w:rsid w:val="009C774D"/>
    <w:rsid w:val="009C7D9C"/>
    <w:rsid w:val="009D18B5"/>
    <w:rsid w:val="009D2975"/>
    <w:rsid w:val="009D2CEA"/>
    <w:rsid w:val="009D3715"/>
    <w:rsid w:val="009D3905"/>
    <w:rsid w:val="009D4E57"/>
    <w:rsid w:val="009D4F88"/>
    <w:rsid w:val="009D61F9"/>
    <w:rsid w:val="009D6301"/>
    <w:rsid w:val="009D7543"/>
    <w:rsid w:val="009E0809"/>
    <w:rsid w:val="009E11B8"/>
    <w:rsid w:val="009E18CB"/>
    <w:rsid w:val="009E2411"/>
    <w:rsid w:val="009E2D94"/>
    <w:rsid w:val="009E3075"/>
    <w:rsid w:val="009E32DC"/>
    <w:rsid w:val="009E6F3A"/>
    <w:rsid w:val="009E777E"/>
    <w:rsid w:val="009E77C7"/>
    <w:rsid w:val="009F0449"/>
    <w:rsid w:val="009F0CA1"/>
    <w:rsid w:val="009F0D7C"/>
    <w:rsid w:val="009F1F2B"/>
    <w:rsid w:val="009F2073"/>
    <w:rsid w:val="009F22D0"/>
    <w:rsid w:val="009F2482"/>
    <w:rsid w:val="009F2CBC"/>
    <w:rsid w:val="009F2EBA"/>
    <w:rsid w:val="009F3A95"/>
    <w:rsid w:val="009F3B71"/>
    <w:rsid w:val="009F3F8E"/>
    <w:rsid w:val="009F4658"/>
    <w:rsid w:val="009F5B1C"/>
    <w:rsid w:val="009F5C57"/>
    <w:rsid w:val="009F62AB"/>
    <w:rsid w:val="009F73E1"/>
    <w:rsid w:val="009F7B71"/>
    <w:rsid w:val="00A00093"/>
    <w:rsid w:val="00A014CF"/>
    <w:rsid w:val="00A0377B"/>
    <w:rsid w:val="00A039E1"/>
    <w:rsid w:val="00A0496A"/>
    <w:rsid w:val="00A05AF7"/>
    <w:rsid w:val="00A06E17"/>
    <w:rsid w:val="00A104E1"/>
    <w:rsid w:val="00A10C79"/>
    <w:rsid w:val="00A117A7"/>
    <w:rsid w:val="00A11E73"/>
    <w:rsid w:val="00A122B0"/>
    <w:rsid w:val="00A125C0"/>
    <w:rsid w:val="00A1470E"/>
    <w:rsid w:val="00A165BE"/>
    <w:rsid w:val="00A17D0C"/>
    <w:rsid w:val="00A20A39"/>
    <w:rsid w:val="00A2101F"/>
    <w:rsid w:val="00A22176"/>
    <w:rsid w:val="00A22CE0"/>
    <w:rsid w:val="00A2419D"/>
    <w:rsid w:val="00A246A7"/>
    <w:rsid w:val="00A25012"/>
    <w:rsid w:val="00A2534E"/>
    <w:rsid w:val="00A26E22"/>
    <w:rsid w:val="00A270E3"/>
    <w:rsid w:val="00A271D1"/>
    <w:rsid w:val="00A27336"/>
    <w:rsid w:val="00A27AB6"/>
    <w:rsid w:val="00A30AC3"/>
    <w:rsid w:val="00A33512"/>
    <w:rsid w:val="00A339C9"/>
    <w:rsid w:val="00A342B3"/>
    <w:rsid w:val="00A34551"/>
    <w:rsid w:val="00A3496D"/>
    <w:rsid w:val="00A35E65"/>
    <w:rsid w:val="00A36C4C"/>
    <w:rsid w:val="00A371C3"/>
    <w:rsid w:val="00A37B7E"/>
    <w:rsid w:val="00A401A9"/>
    <w:rsid w:val="00A4198A"/>
    <w:rsid w:val="00A4411C"/>
    <w:rsid w:val="00A44BC1"/>
    <w:rsid w:val="00A44F90"/>
    <w:rsid w:val="00A45D6B"/>
    <w:rsid w:val="00A461D7"/>
    <w:rsid w:val="00A47259"/>
    <w:rsid w:val="00A474CD"/>
    <w:rsid w:val="00A507F4"/>
    <w:rsid w:val="00A52175"/>
    <w:rsid w:val="00A52738"/>
    <w:rsid w:val="00A53B2E"/>
    <w:rsid w:val="00A53D39"/>
    <w:rsid w:val="00A554A4"/>
    <w:rsid w:val="00A55E41"/>
    <w:rsid w:val="00A56DF5"/>
    <w:rsid w:val="00A5736F"/>
    <w:rsid w:val="00A57481"/>
    <w:rsid w:val="00A57CC7"/>
    <w:rsid w:val="00A57D60"/>
    <w:rsid w:val="00A6067E"/>
    <w:rsid w:val="00A611DF"/>
    <w:rsid w:val="00A61BDE"/>
    <w:rsid w:val="00A62EAE"/>
    <w:rsid w:val="00A6373F"/>
    <w:rsid w:val="00A645E8"/>
    <w:rsid w:val="00A64F29"/>
    <w:rsid w:val="00A652C5"/>
    <w:rsid w:val="00A66789"/>
    <w:rsid w:val="00A66918"/>
    <w:rsid w:val="00A678FC"/>
    <w:rsid w:val="00A70117"/>
    <w:rsid w:val="00A72544"/>
    <w:rsid w:val="00A726D8"/>
    <w:rsid w:val="00A73313"/>
    <w:rsid w:val="00A7356E"/>
    <w:rsid w:val="00A746C3"/>
    <w:rsid w:val="00A77AC7"/>
    <w:rsid w:val="00A80184"/>
    <w:rsid w:val="00A805E8"/>
    <w:rsid w:val="00A80869"/>
    <w:rsid w:val="00A80E60"/>
    <w:rsid w:val="00A81198"/>
    <w:rsid w:val="00A81340"/>
    <w:rsid w:val="00A823F1"/>
    <w:rsid w:val="00A82BA7"/>
    <w:rsid w:val="00A83587"/>
    <w:rsid w:val="00A83C01"/>
    <w:rsid w:val="00A83D93"/>
    <w:rsid w:val="00A84E9E"/>
    <w:rsid w:val="00A8522B"/>
    <w:rsid w:val="00A86CFF"/>
    <w:rsid w:val="00A87D38"/>
    <w:rsid w:val="00A92557"/>
    <w:rsid w:val="00A93815"/>
    <w:rsid w:val="00A93974"/>
    <w:rsid w:val="00A93B30"/>
    <w:rsid w:val="00A93CD3"/>
    <w:rsid w:val="00A95282"/>
    <w:rsid w:val="00A96EAF"/>
    <w:rsid w:val="00A96F2A"/>
    <w:rsid w:val="00A9713D"/>
    <w:rsid w:val="00AA13A9"/>
    <w:rsid w:val="00AA1B58"/>
    <w:rsid w:val="00AA1B92"/>
    <w:rsid w:val="00AA20AF"/>
    <w:rsid w:val="00AA2859"/>
    <w:rsid w:val="00AA2BA8"/>
    <w:rsid w:val="00AA32D9"/>
    <w:rsid w:val="00AA4B8D"/>
    <w:rsid w:val="00AA4EC8"/>
    <w:rsid w:val="00AA6057"/>
    <w:rsid w:val="00AA7131"/>
    <w:rsid w:val="00AA7D2D"/>
    <w:rsid w:val="00AB0950"/>
    <w:rsid w:val="00AB0B1F"/>
    <w:rsid w:val="00AB0CF6"/>
    <w:rsid w:val="00AB125B"/>
    <w:rsid w:val="00AB1FCF"/>
    <w:rsid w:val="00AB26D3"/>
    <w:rsid w:val="00AB3344"/>
    <w:rsid w:val="00AB3A7A"/>
    <w:rsid w:val="00AB4256"/>
    <w:rsid w:val="00AB4992"/>
    <w:rsid w:val="00AB5883"/>
    <w:rsid w:val="00AB7AD3"/>
    <w:rsid w:val="00AC2F4D"/>
    <w:rsid w:val="00AC31C2"/>
    <w:rsid w:val="00AC5650"/>
    <w:rsid w:val="00AC60EB"/>
    <w:rsid w:val="00AC7288"/>
    <w:rsid w:val="00AC7D59"/>
    <w:rsid w:val="00AD000E"/>
    <w:rsid w:val="00AD3B6C"/>
    <w:rsid w:val="00AD4A4B"/>
    <w:rsid w:val="00AD4E3A"/>
    <w:rsid w:val="00AD4E8C"/>
    <w:rsid w:val="00AD52F7"/>
    <w:rsid w:val="00AD63BF"/>
    <w:rsid w:val="00AD6AA4"/>
    <w:rsid w:val="00AD78DC"/>
    <w:rsid w:val="00AE0744"/>
    <w:rsid w:val="00AE28D7"/>
    <w:rsid w:val="00AE3C23"/>
    <w:rsid w:val="00AE4370"/>
    <w:rsid w:val="00AE48AA"/>
    <w:rsid w:val="00AE5099"/>
    <w:rsid w:val="00AE6755"/>
    <w:rsid w:val="00AE67BE"/>
    <w:rsid w:val="00AE6E23"/>
    <w:rsid w:val="00AE7F0A"/>
    <w:rsid w:val="00AF053A"/>
    <w:rsid w:val="00AF1016"/>
    <w:rsid w:val="00AF2434"/>
    <w:rsid w:val="00AF2464"/>
    <w:rsid w:val="00AF2A96"/>
    <w:rsid w:val="00AF3268"/>
    <w:rsid w:val="00AF3E66"/>
    <w:rsid w:val="00AF5F7F"/>
    <w:rsid w:val="00AF65B6"/>
    <w:rsid w:val="00AF7037"/>
    <w:rsid w:val="00AF78A2"/>
    <w:rsid w:val="00AF7956"/>
    <w:rsid w:val="00AF7AF2"/>
    <w:rsid w:val="00B00526"/>
    <w:rsid w:val="00B00B3D"/>
    <w:rsid w:val="00B01A77"/>
    <w:rsid w:val="00B01FC5"/>
    <w:rsid w:val="00B02027"/>
    <w:rsid w:val="00B02824"/>
    <w:rsid w:val="00B02CEF"/>
    <w:rsid w:val="00B03EEA"/>
    <w:rsid w:val="00B04113"/>
    <w:rsid w:val="00B04E9D"/>
    <w:rsid w:val="00B05405"/>
    <w:rsid w:val="00B06E49"/>
    <w:rsid w:val="00B06ED8"/>
    <w:rsid w:val="00B06F04"/>
    <w:rsid w:val="00B06FCE"/>
    <w:rsid w:val="00B070D1"/>
    <w:rsid w:val="00B07134"/>
    <w:rsid w:val="00B076E3"/>
    <w:rsid w:val="00B10569"/>
    <w:rsid w:val="00B11678"/>
    <w:rsid w:val="00B116E7"/>
    <w:rsid w:val="00B12328"/>
    <w:rsid w:val="00B12639"/>
    <w:rsid w:val="00B12E2E"/>
    <w:rsid w:val="00B141A8"/>
    <w:rsid w:val="00B1657B"/>
    <w:rsid w:val="00B17940"/>
    <w:rsid w:val="00B212A6"/>
    <w:rsid w:val="00B23A79"/>
    <w:rsid w:val="00B23B50"/>
    <w:rsid w:val="00B24944"/>
    <w:rsid w:val="00B24CA1"/>
    <w:rsid w:val="00B252E5"/>
    <w:rsid w:val="00B27C62"/>
    <w:rsid w:val="00B30674"/>
    <w:rsid w:val="00B317B9"/>
    <w:rsid w:val="00B31805"/>
    <w:rsid w:val="00B31EFE"/>
    <w:rsid w:val="00B33EAB"/>
    <w:rsid w:val="00B33EBF"/>
    <w:rsid w:val="00B35783"/>
    <w:rsid w:val="00B35BFC"/>
    <w:rsid w:val="00B35C7C"/>
    <w:rsid w:val="00B35C8A"/>
    <w:rsid w:val="00B35CE6"/>
    <w:rsid w:val="00B35F83"/>
    <w:rsid w:val="00B36914"/>
    <w:rsid w:val="00B378AC"/>
    <w:rsid w:val="00B4063D"/>
    <w:rsid w:val="00B406DE"/>
    <w:rsid w:val="00B41EFC"/>
    <w:rsid w:val="00B435A5"/>
    <w:rsid w:val="00B43E4E"/>
    <w:rsid w:val="00B43F4E"/>
    <w:rsid w:val="00B444A8"/>
    <w:rsid w:val="00B4474F"/>
    <w:rsid w:val="00B450BA"/>
    <w:rsid w:val="00B460D4"/>
    <w:rsid w:val="00B46AD0"/>
    <w:rsid w:val="00B46CB9"/>
    <w:rsid w:val="00B46E1C"/>
    <w:rsid w:val="00B4736B"/>
    <w:rsid w:val="00B47D76"/>
    <w:rsid w:val="00B5003A"/>
    <w:rsid w:val="00B50613"/>
    <w:rsid w:val="00B515A8"/>
    <w:rsid w:val="00B51D54"/>
    <w:rsid w:val="00B51D9C"/>
    <w:rsid w:val="00B528B9"/>
    <w:rsid w:val="00B53052"/>
    <w:rsid w:val="00B546C1"/>
    <w:rsid w:val="00B54C86"/>
    <w:rsid w:val="00B54F38"/>
    <w:rsid w:val="00B55CB8"/>
    <w:rsid w:val="00B56580"/>
    <w:rsid w:val="00B60E04"/>
    <w:rsid w:val="00B61B1A"/>
    <w:rsid w:val="00B61F86"/>
    <w:rsid w:val="00B6303B"/>
    <w:rsid w:val="00B648AC"/>
    <w:rsid w:val="00B66243"/>
    <w:rsid w:val="00B66505"/>
    <w:rsid w:val="00B66DA3"/>
    <w:rsid w:val="00B66F38"/>
    <w:rsid w:val="00B671A3"/>
    <w:rsid w:val="00B676E1"/>
    <w:rsid w:val="00B67ADC"/>
    <w:rsid w:val="00B67ADE"/>
    <w:rsid w:val="00B707E1"/>
    <w:rsid w:val="00B72195"/>
    <w:rsid w:val="00B76002"/>
    <w:rsid w:val="00B76119"/>
    <w:rsid w:val="00B80032"/>
    <w:rsid w:val="00B80133"/>
    <w:rsid w:val="00B8014A"/>
    <w:rsid w:val="00B80A0A"/>
    <w:rsid w:val="00B8132D"/>
    <w:rsid w:val="00B824E6"/>
    <w:rsid w:val="00B82CAE"/>
    <w:rsid w:val="00B83DF8"/>
    <w:rsid w:val="00B83FE7"/>
    <w:rsid w:val="00B846C8"/>
    <w:rsid w:val="00B87690"/>
    <w:rsid w:val="00B90706"/>
    <w:rsid w:val="00B90FA7"/>
    <w:rsid w:val="00B91C2F"/>
    <w:rsid w:val="00B92A73"/>
    <w:rsid w:val="00B9401C"/>
    <w:rsid w:val="00B94335"/>
    <w:rsid w:val="00B954DB"/>
    <w:rsid w:val="00B9587C"/>
    <w:rsid w:val="00B96683"/>
    <w:rsid w:val="00B9673C"/>
    <w:rsid w:val="00BA029D"/>
    <w:rsid w:val="00BA04AF"/>
    <w:rsid w:val="00BA13D2"/>
    <w:rsid w:val="00BA1AB7"/>
    <w:rsid w:val="00BA41E6"/>
    <w:rsid w:val="00BA4BA9"/>
    <w:rsid w:val="00BA4DF0"/>
    <w:rsid w:val="00BA4ECB"/>
    <w:rsid w:val="00BA5D6A"/>
    <w:rsid w:val="00BA61A9"/>
    <w:rsid w:val="00BA660E"/>
    <w:rsid w:val="00BA6C2B"/>
    <w:rsid w:val="00BB0EAC"/>
    <w:rsid w:val="00BB26FC"/>
    <w:rsid w:val="00BB275D"/>
    <w:rsid w:val="00BB36A1"/>
    <w:rsid w:val="00BB4154"/>
    <w:rsid w:val="00BB5632"/>
    <w:rsid w:val="00BB62AD"/>
    <w:rsid w:val="00BB6826"/>
    <w:rsid w:val="00BB797F"/>
    <w:rsid w:val="00BC01E4"/>
    <w:rsid w:val="00BC029A"/>
    <w:rsid w:val="00BC06C3"/>
    <w:rsid w:val="00BC2761"/>
    <w:rsid w:val="00BC3103"/>
    <w:rsid w:val="00BC4DD1"/>
    <w:rsid w:val="00BC4F33"/>
    <w:rsid w:val="00BC4F3E"/>
    <w:rsid w:val="00BC50F2"/>
    <w:rsid w:val="00BC531E"/>
    <w:rsid w:val="00BC5AD6"/>
    <w:rsid w:val="00BC5EBE"/>
    <w:rsid w:val="00BC5FF6"/>
    <w:rsid w:val="00BC7BEF"/>
    <w:rsid w:val="00BC7C07"/>
    <w:rsid w:val="00BD2705"/>
    <w:rsid w:val="00BD3093"/>
    <w:rsid w:val="00BD3312"/>
    <w:rsid w:val="00BD353D"/>
    <w:rsid w:val="00BD39A9"/>
    <w:rsid w:val="00BD4510"/>
    <w:rsid w:val="00BD5FCA"/>
    <w:rsid w:val="00BD6314"/>
    <w:rsid w:val="00BD68F2"/>
    <w:rsid w:val="00BD6CAD"/>
    <w:rsid w:val="00BD79AF"/>
    <w:rsid w:val="00BE076F"/>
    <w:rsid w:val="00BE0A91"/>
    <w:rsid w:val="00BE1EA6"/>
    <w:rsid w:val="00BE4D86"/>
    <w:rsid w:val="00BE51C2"/>
    <w:rsid w:val="00BE61B3"/>
    <w:rsid w:val="00BE6824"/>
    <w:rsid w:val="00BF089F"/>
    <w:rsid w:val="00BF0ACC"/>
    <w:rsid w:val="00BF0FCE"/>
    <w:rsid w:val="00BF17CC"/>
    <w:rsid w:val="00BF4D92"/>
    <w:rsid w:val="00BF5327"/>
    <w:rsid w:val="00BF6908"/>
    <w:rsid w:val="00BF692B"/>
    <w:rsid w:val="00C005CF"/>
    <w:rsid w:val="00C00AFD"/>
    <w:rsid w:val="00C01C51"/>
    <w:rsid w:val="00C02509"/>
    <w:rsid w:val="00C02EE5"/>
    <w:rsid w:val="00C04506"/>
    <w:rsid w:val="00C05ADD"/>
    <w:rsid w:val="00C05BB8"/>
    <w:rsid w:val="00C10B5E"/>
    <w:rsid w:val="00C11660"/>
    <w:rsid w:val="00C11BFE"/>
    <w:rsid w:val="00C12094"/>
    <w:rsid w:val="00C123CB"/>
    <w:rsid w:val="00C13105"/>
    <w:rsid w:val="00C142D9"/>
    <w:rsid w:val="00C149D4"/>
    <w:rsid w:val="00C15148"/>
    <w:rsid w:val="00C169EF"/>
    <w:rsid w:val="00C17459"/>
    <w:rsid w:val="00C17A44"/>
    <w:rsid w:val="00C17BA4"/>
    <w:rsid w:val="00C20520"/>
    <w:rsid w:val="00C20E4D"/>
    <w:rsid w:val="00C2316E"/>
    <w:rsid w:val="00C23418"/>
    <w:rsid w:val="00C23F60"/>
    <w:rsid w:val="00C24175"/>
    <w:rsid w:val="00C24895"/>
    <w:rsid w:val="00C25C58"/>
    <w:rsid w:val="00C263E3"/>
    <w:rsid w:val="00C26733"/>
    <w:rsid w:val="00C268C8"/>
    <w:rsid w:val="00C26E44"/>
    <w:rsid w:val="00C27BBB"/>
    <w:rsid w:val="00C30B9E"/>
    <w:rsid w:val="00C3198C"/>
    <w:rsid w:val="00C31A69"/>
    <w:rsid w:val="00C31D7C"/>
    <w:rsid w:val="00C33645"/>
    <w:rsid w:val="00C33E50"/>
    <w:rsid w:val="00C33FD8"/>
    <w:rsid w:val="00C34178"/>
    <w:rsid w:val="00C34943"/>
    <w:rsid w:val="00C34F72"/>
    <w:rsid w:val="00C350F2"/>
    <w:rsid w:val="00C35AB4"/>
    <w:rsid w:val="00C368B8"/>
    <w:rsid w:val="00C36FAA"/>
    <w:rsid w:val="00C37EFF"/>
    <w:rsid w:val="00C412E2"/>
    <w:rsid w:val="00C41380"/>
    <w:rsid w:val="00C41776"/>
    <w:rsid w:val="00C41E31"/>
    <w:rsid w:val="00C42EFC"/>
    <w:rsid w:val="00C450D2"/>
    <w:rsid w:val="00C4546B"/>
    <w:rsid w:val="00C4594A"/>
    <w:rsid w:val="00C45C39"/>
    <w:rsid w:val="00C46CE9"/>
    <w:rsid w:val="00C505B7"/>
    <w:rsid w:val="00C5073B"/>
    <w:rsid w:val="00C5073E"/>
    <w:rsid w:val="00C50C1F"/>
    <w:rsid w:val="00C51D0B"/>
    <w:rsid w:val="00C52A9D"/>
    <w:rsid w:val="00C55175"/>
    <w:rsid w:val="00C55A98"/>
    <w:rsid w:val="00C564DD"/>
    <w:rsid w:val="00C5729A"/>
    <w:rsid w:val="00C61171"/>
    <w:rsid w:val="00C6124D"/>
    <w:rsid w:val="00C61BAF"/>
    <w:rsid w:val="00C6223C"/>
    <w:rsid w:val="00C64CFD"/>
    <w:rsid w:val="00C666E2"/>
    <w:rsid w:val="00C67246"/>
    <w:rsid w:val="00C701AB"/>
    <w:rsid w:val="00C702C9"/>
    <w:rsid w:val="00C71014"/>
    <w:rsid w:val="00C72D10"/>
    <w:rsid w:val="00C73AE0"/>
    <w:rsid w:val="00C74D4D"/>
    <w:rsid w:val="00C74F3E"/>
    <w:rsid w:val="00C75064"/>
    <w:rsid w:val="00C761A8"/>
    <w:rsid w:val="00C765C9"/>
    <w:rsid w:val="00C77BA2"/>
    <w:rsid w:val="00C77C2B"/>
    <w:rsid w:val="00C81140"/>
    <w:rsid w:val="00C820A5"/>
    <w:rsid w:val="00C823A3"/>
    <w:rsid w:val="00C82B42"/>
    <w:rsid w:val="00C82EC0"/>
    <w:rsid w:val="00C82EE1"/>
    <w:rsid w:val="00C8364B"/>
    <w:rsid w:val="00C84143"/>
    <w:rsid w:val="00C84361"/>
    <w:rsid w:val="00C84C7F"/>
    <w:rsid w:val="00C84EB0"/>
    <w:rsid w:val="00C86D86"/>
    <w:rsid w:val="00C87901"/>
    <w:rsid w:val="00C90147"/>
    <w:rsid w:val="00C90572"/>
    <w:rsid w:val="00C90610"/>
    <w:rsid w:val="00C929E9"/>
    <w:rsid w:val="00C94B9A"/>
    <w:rsid w:val="00C95FC4"/>
    <w:rsid w:val="00C96AD5"/>
    <w:rsid w:val="00C97027"/>
    <w:rsid w:val="00C97877"/>
    <w:rsid w:val="00C97FCD"/>
    <w:rsid w:val="00CA043A"/>
    <w:rsid w:val="00CA09F1"/>
    <w:rsid w:val="00CA1E89"/>
    <w:rsid w:val="00CA3C01"/>
    <w:rsid w:val="00CA4904"/>
    <w:rsid w:val="00CA4989"/>
    <w:rsid w:val="00CA4DC7"/>
    <w:rsid w:val="00CA5BC6"/>
    <w:rsid w:val="00CA67E1"/>
    <w:rsid w:val="00CA6CDE"/>
    <w:rsid w:val="00CB0048"/>
    <w:rsid w:val="00CB04E2"/>
    <w:rsid w:val="00CB073A"/>
    <w:rsid w:val="00CB0DFC"/>
    <w:rsid w:val="00CB1937"/>
    <w:rsid w:val="00CB1A7B"/>
    <w:rsid w:val="00CB234F"/>
    <w:rsid w:val="00CB27CC"/>
    <w:rsid w:val="00CB426F"/>
    <w:rsid w:val="00CB4A9D"/>
    <w:rsid w:val="00CB4CCC"/>
    <w:rsid w:val="00CB4F3F"/>
    <w:rsid w:val="00CB506E"/>
    <w:rsid w:val="00CB6BC2"/>
    <w:rsid w:val="00CC0364"/>
    <w:rsid w:val="00CC04FD"/>
    <w:rsid w:val="00CC1B7A"/>
    <w:rsid w:val="00CC2F31"/>
    <w:rsid w:val="00CC305F"/>
    <w:rsid w:val="00CC32E6"/>
    <w:rsid w:val="00CC3341"/>
    <w:rsid w:val="00CC3DDC"/>
    <w:rsid w:val="00CC437D"/>
    <w:rsid w:val="00CC4FB7"/>
    <w:rsid w:val="00CC53F1"/>
    <w:rsid w:val="00CC5583"/>
    <w:rsid w:val="00CC57AE"/>
    <w:rsid w:val="00CC5E70"/>
    <w:rsid w:val="00CC6321"/>
    <w:rsid w:val="00CC6391"/>
    <w:rsid w:val="00CC68E2"/>
    <w:rsid w:val="00CD031C"/>
    <w:rsid w:val="00CD0380"/>
    <w:rsid w:val="00CD16D6"/>
    <w:rsid w:val="00CD1988"/>
    <w:rsid w:val="00CD2FFF"/>
    <w:rsid w:val="00CD4054"/>
    <w:rsid w:val="00CD47B3"/>
    <w:rsid w:val="00CD50D1"/>
    <w:rsid w:val="00CD6C66"/>
    <w:rsid w:val="00CD73E2"/>
    <w:rsid w:val="00CD78D3"/>
    <w:rsid w:val="00CE0D15"/>
    <w:rsid w:val="00CE150A"/>
    <w:rsid w:val="00CE164C"/>
    <w:rsid w:val="00CE218B"/>
    <w:rsid w:val="00CE27EC"/>
    <w:rsid w:val="00CE2B53"/>
    <w:rsid w:val="00CE2CF0"/>
    <w:rsid w:val="00CE4985"/>
    <w:rsid w:val="00CE4DB3"/>
    <w:rsid w:val="00CE57ED"/>
    <w:rsid w:val="00CE6772"/>
    <w:rsid w:val="00CE6EC9"/>
    <w:rsid w:val="00CE6F4B"/>
    <w:rsid w:val="00CE74D2"/>
    <w:rsid w:val="00CE7D36"/>
    <w:rsid w:val="00CF098E"/>
    <w:rsid w:val="00CF148E"/>
    <w:rsid w:val="00CF1506"/>
    <w:rsid w:val="00CF16D1"/>
    <w:rsid w:val="00CF2606"/>
    <w:rsid w:val="00CF300F"/>
    <w:rsid w:val="00CF3B08"/>
    <w:rsid w:val="00CF4E55"/>
    <w:rsid w:val="00CF4F02"/>
    <w:rsid w:val="00CF55E9"/>
    <w:rsid w:val="00CF5EDC"/>
    <w:rsid w:val="00CF6422"/>
    <w:rsid w:val="00CF6F2D"/>
    <w:rsid w:val="00CF716D"/>
    <w:rsid w:val="00CF77D6"/>
    <w:rsid w:val="00CF7B99"/>
    <w:rsid w:val="00CF7D8D"/>
    <w:rsid w:val="00CF7F60"/>
    <w:rsid w:val="00D00085"/>
    <w:rsid w:val="00D0195C"/>
    <w:rsid w:val="00D01C7A"/>
    <w:rsid w:val="00D0616A"/>
    <w:rsid w:val="00D06848"/>
    <w:rsid w:val="00D11487"/>
    <w:rsid w:val="00D114CC"/>
    <w:rsid w:val="00D11666"/>
    <w:rsid w:val="00D11D3E"/>
    <w:rsid w:val="00D11E6A"/>
    <w:rsid w:val="00D1263F"/>
    <w:rsid w:val="00D129AC"/>
    <w:rsid w:val="00D155A0"/>
    <w:rsid w:val="00D16735"/>
    <w:rsid w:val="00D16D8E"/>
    <w:rsid w:val="00D17D6C"/>
    <w:rsid w:val="00D21424"/>
    <w:rsid w:val="00D214A9"/>
    <w:rsid w:val="00D223A7"/>
    <w:rsid w:val="00D2254E"/>
    <w:rsid w:val="00D22A25"/>
    <w:rsid w:val="00D237A1"/>
    <w:rsid w:val="00D23B5B"/>
    <w:rsid w:val="00D241A8"/>
    <w:rsid w:val="00D2473E"/>
    <w:rsid w:val="00D24B36"/>
    <w:rsid w:val="00D24CA9"/>
    <w:rsid w:val="00D24E9C"/>
    <w:rsid w:val="00D25E93"/>
    <w:rsid w:val="00D27886"/>
    <w:rsid w:val="00D319AB"/>
    <w:rsid w:val="00D32F56"/>
    <w:rsid w:val="00D3352F"/>
    <w:rsid w:val="00D335CE"/>
    <w:rsid w:val="00D33971"/>
    <w:rsid w:val="00D345B0"/>
    <w:rsid w:val="00D34FDA"/>
    <w:rsid w:val="00D362C5"/>
    <w:rsid w:val="00D365E9"/>
    <w:rsid w:val="00D36973"/>
    <w:rsid w:val="00D375B0"/>
    <w:rsid w:val="00D40997"/>
    <w:rsid w:val="00D40A99"/>
    <w:rsid w:val="00D40C88"/>
    <w:rsid w:val="00D4222D"/>
    <w:rsid w:val="00D429F0"/>
    <w:rsid w:val="00D431C8"/>
    <w:rsid w:val="00D439D6"/>
    <w:rsid w:val="00D44055"/>
    <w:rsid w:val="00D4422E"/>
    <w:rsid w:val="00D44813"/>
    <w:rsid w:val="00D44C90"/>
    <w:rsid w:val="00D45F08"/>
    <w:rsid w:val="00D47A1B"/>
    <w:rsid w:val="00D47AF6"/>
    <w:rsid w:val="00D503BA"/>
    <w:rsid w:val="00D53825"/>
    <w:rsid w:val="00D54716"/>
    <w:rsid w:val="00D550BA"/>
    <w:rsid w:val="00D558EE"/>
    <w:rsid w:val="00D564CF"/>
    <w:rsid w:val="00D56804"/>
    <w:rsid w:val="00D56B0F"/>
    <w:rsid w:val="00D57782"/>
    <w:rsid w:val="00D60001"/>
    <w:rsid w:val="00D60527"/>
    <w:rsid w:val="00D608AF"/>
    <w:rsid w:val="00D617B4"/>
    <w:rsid w:val="00D63379"/>
    <w:rsid w:val="00D64180"/>
    <w:rsid w:val="00D64724"/>
    <w:rsid w:val="00D66627"/>
    <w:rsid w:val="00D66825"/>
    <w:rsid w:val="00D66B95"/>
    <w:rsid w:val="00D67BE0"/>
    <w:rsid w:val="00D71707"/>
    <w:rsid w:val="00D719D7"/>
    <w:rsid w:val="00D72054"/>
    <w:rsid w:val="00D722D2"/>
    <w:rsid w:val="00D726C3"/>
    <w:rsid w:val="00D729B2"/>
    <w:rsid w:val="00D7527C"/>
    <w:rsid w:val="00D75E25"/>
    <w:rsid w:val="00D76B82"/>
    <w:rsid w:val="00D77DA2"/>
    <w:rsid w:val="00D77E18"/>
    <w:rsid w:val="00D8073E"/>
    <w:rsid w:val="00D82137"/>
    <w:rsid w:val="00D8336B"/>
    <w:rsid w:val="00D83C9D"/>
    <w:rsid w:val="00D83DB0"/>
    <w:rsid w:val="00D84857"/>
    <w:rsid w:val="00D84FD4"/>
    <w:rsid w:val="00D87361"/>
    <w:rsid w:val="00D90AC9"/>
    <w:rsid w:val="00D90C8E"/>
    <w:rsid w:val="00D921FE"/>
    <w:rsid w:val="00D92F0B"/>
    <w:rsid w:val="00D93489"/>
    <w:rsid w:val="00D94871"/>
    <w:rsid w:val="00D9579B"/>
    <w:rsid w:val="00D95BC7"/>
    <w:rsid w:val="00D9707A"/>
    <w:rsid w:val="00D974E9"/>
    <w:rsid w:val="00DA02E5"/>
    <w:rsid w:val="00DA08A8"/>
    <w:rsid w:val="00DA0ABA"/>
    <w:rsid w:val="00DA11EC"/>
    <w:rsid w:val="00DA4C75"/>
    <w:rsid w:val="00DA5630"/>
    <w:rsid w:val="00DA5FD7"/>
    <w:rsid w:val="00DA6005"/>
    <w:rsid w:val="00DB00A6"/>
    <w:rsid w:val="00DB0664"/>
    <w:rsid w:val="00DB09C3"/>
    <w:rsid w:val="00DB1CBB"/>
    <w:rsid w:val="00DB292A"/>
    <w:rsid w:val="00DB32B6"/>
    <w:rsid w:val="00DB3906"/>
    <w:rsid w:val="00DB5367"/>
    <w:rsid w:val="00DB5821"/>
    <w:rsid w:val="00DC094A"/>
    <w:rsid w:val="00DC183A"/>
    <w:rsid w:val="00DC18C2"/>
    <w:rsid w:val="00DC269C"/>
    <w:rsid w:val="00DC38DE"/>
    <w:rsid w:val="00DC43B3"/>
    <w:rsid w:val="00DC4930"/>
    <w:rsid w:val="00DC5243"/>
    <w:rsid w:val="00DC656A"/>
    <w:rsid w:val="00DC739C"/>
    <w:rsid w:val="00DD1113"/>
    <w:rsid w:val="00DD32A3"/>
    <w:rsid w:val="00DD3FD8"/>
    <w:rsid w:val="00DD43F7"/>
    <w:rsid w:val="00DD5188"/>
    <w:rsid w:val="00DD51A5"/>
    <w:rsid w:val="00DD5363"/>
    <w:rsid w:val="00DD5BF8"/>
    <w:rsid w:val="00DD6CA7"/>
    <w:rsid w:val="00DE3EE4"/>
    <w:rsid w:val="00DE40E4"/>
    <w:rsid w:val="00DE4246"/>
    <w:rsid w:val="00DE47E9"/>
    <w:rsid w:val="00DE51D5"/>
    <w:rsid w:val="00DE5CB2"/>
    <w:rsid w:val="00DE6BF7"/>
    <w:rsid w:val="00DF01FC"/>
    <w:rsid w:val="00DF0635"/>
    <w:rsid w:val="00DF08FA"/>
    <w:rsid w:val="00DF1EFB"/>
    <w:rsid w:val="00DF2B01"/>
    <w:rsid w:val="00DF378E"/>
    <w:rsid w:val="00DF3970"/>
    <w:rsid w:val="00DF5F27"/>
    <w:rsid w:val="00DF629D"/>
    <w:rsid w:val="00DF6A86"/>
    <w:rsid w:val="00DF7871"/>
    <w:rsid w:val="00DF79C4"/>
    <w:rsid w:val="00DF7E6B"/>
    <w:rsid w:val="00E008B2"/>
    <w:rsid w:val="00E0166A"/>
    <w:rsid w:val="00E01A60"/>
    <w:rsid w:val="00E023E6"/>
    <w:rsid w:val="00E04D6E"/>
    <w:rsid w:val="00E04E0C"/>
    <w:rsid w:val="00E056AA"/>
    <w:rsid w:val="00E07EF6"/>
    <w:rsid w:val="00E107F2"/>
    <w:rsid w:val="00E10A6A"/>
    <w:rsid w:val="00E10DF9"/>
    <w:rsid w:val="00E1107A"/>
    <w:rsid w:val="00E11572"/>
    <w:rsid w:val="00E12280"/>
    <w:rsid w:val="00E127C7"/>
    <w:rsid w:val="00E12A84"/>
    <w:rsid w:val="00E136FE"/>
    <w:rsid w:val="00E1513A"/>
    <w:rsid w:val="00E15B9E"/>
    <w:rsid w:val="00E16543"/>
    <w:rsid w:val="00E16AAD"/>
    <w:rsid w:val="00E20462"/>
    <w:rsid w:val="00E20AFE"/>
    <w:rsid w:val="00E20EE2"/>
    <w:rsid w:val="00E214B8"/>
    <w:rsid w:val="00E23006"/>
    <w:rsid w:val="00E2368C"/>
    <w:rsid w:val="00E2404E"/>
    <w:rsid w:val="00E246CF"/>
    <w:rsid w:val="00E24E49"/>
    <w:rsid w:val="00E24EB8"/>
    <w:rsid w:val="00E2685D"/>
    <w:rsid w:val="00E30BAC"/>
    <w:rsid w:val="00E30F5C"/>
    <w:rsid w:val="00E31149"/>
    <w:rsid w:val="00E31F18"/>
    <w:rsid w:val="00E325D3"/>
    <w:rsid w:val="00E32CF5"/>
    <w:rsid w:val="00E33A38"/>
    <w:rsid w:val="00E33A4E"/>
    <w:rsid w:val="00E33CF1"/>
    <w:rsid w:val="00E34C95"/>
    <w:rsid w:val="00E34E20"/>
    <w:rsid w:val="00E35449"/>
    <w:rsid w:val="00E36066"/>
    <w:rsid w:val="00E3637E"/>
    <w:rsid w:val="00E36A9D"/>
    <w:rsid w:val="00E37A3D"/>
    <w:rsid w:val="00E407D1"/>
    <w:rsid w:val="00E40CCB"/>
    <w:rsid w:val="00E411B8"/>
    <w:rsid w:val="00E41802"/>
    <w:rsid w:val="00E41877"/>
    <w:rsid w:val="00E41A8A"/>
    <w:rsid w:val="00E42D74"/>
    <w:rsid w:val="00E43687"/>
    <w:rsid w:val="00E45635"/>
    <w:rsid w:val="00E47493"/>
    <w:rsid w:val="00E504A6"/>
    <w:rsid w:val="00E51171"/>
    <w:rsid w:val="00E51A0B"/>
    <w:rsid w:val="00E52204"/>
    <w:rsid w:val="00E5289D"/>
    <w:rsid w:val="00E53444"/>
    <w:rsid w:val="00E539B4"/>
    <w:rsid w:val="00E542FD"/>
    <w:rsid w:val="00E54791"/>
    <w:rsid w:val="00E54EF2"/>
    <w:rsid w:val="00E55005"/>
    <w:rsid w:val="00E5542C"/>
    <w:rsid w:val="00E55B05"/>
    <w:rsid w:val="00E56A06"/>
    <w:rsid w:val="00E57827"/>
    <w:rsid w:val="00E578D9"/>
    <w:rsid w:val="00E57D3C"/>
    <w:rsid w:val="00E618CD"/>
    <w:rsid w:val="00E61933"/>
    <w:rsid w:val="00E6197F"/>
    <w:rsid w:val="00E63219"/>
    <w:rsid w:val="00E64BCB"/>
    <w:rsid w:val="00E64D6F"/>
    <w:rsid w:val="00E656E5"/>
    <w:rsid w:val="00E65EC4"/>
    <w:rsid w:val="00E66371"/>
    <w:rsid w:val="00E66A76"/>
    <w:rsid w:val="00E66AC8"/>
    <w:rsid w:val="00E7007E"/>
    <w:rsid w:val="00E73313"/>
    <w:rsid w:val="00E738D9"/>
    <w:rsid w:val="00E74794"/>
    <w:rsid w:val="00E74920"/>
    <w:rsid w:val="00E7705D"/>
    <w:rsid w:val="00E80667"/>
    <w:rsid w:val="00E80697"/>
    <w:rsid w:val="00E8094F"/>
    <w:rsid w:val="00E80DB4"/>
    <w:rsid w:val="00E81EF1"/>
    <w:rsid w:val="00E82BBB"/>
    <w:rsid w:val="00E82D35"/>
    <w:rsid w:val="00E82EBD"/>
    <w:rsid w:val="00E84E97"/>
    <w:rsid w:val="00E8627E"/>
    <w:rsid w:val="00E878D3"/>
    <w:rsid w:val="00E90025"/>
    <w:rsid w:val="00E90844"/>
    <w:rsid w:val="00E9123D"/>
    <w:rsid w:val="00E92D31"/>
    <w:rsid w:val="00E9417E"/>
    <w:rsid w:val="00EA0016"/>
    <w:rsid w:val="00EA0F4B"/>
    <w:rsid w:val="00EA11CA"/>
    <w:rsid w:val="00EA12C5"/>
    <w:rsid w:val="00EA2B0D"/>
    <w:rsid w:val="00EA33C2"/>
    <w:rsid w:val="00EA44E6"/>
    <w:rsid w:val="00EA5669"/>
    <w:rsid w:val="00EA7919"/>
    <w:rsid w:val="00EB066E"/>
    <w:rsid w:val="00EB0796"/>
    <w:rsid w:val="00EB332B"/>
    <w:rsid w:val="00EB3F4C"/>
    <w:rsid w:val="00EB4228"/>
    <w:rsid w:val="00EB42B1"/>
    <w:rsid w:val="00EB490F"/>
    <w:rsid w:val="00EB4942"/>
    <w:rsid w:val="00EB5F23"/>
    <w:rsid w:val="00EB60B2"/>
    <w:rsid w:val="00EB668F"/>
    <w:rsid w:val="00EB7224"/>
    <w:rsid w:val="00EB7DC7"/>
    <w:rsid w:val="00EC1897"/>
    <w:rsid w:val="00EC2D36"/>
    <w:rsid w:val="00EC3749"/>
    <w:rsid w:val="00EC38A7"/>
    <w:rsid w:val="00EC42D4"/>
    <w:rsid w:val="00EC4A49"/>
    <w:rsid w:val="00EC4A61"/>
    <w:rsid w:val="00EC4B03"/>
    <w:rsid w:val="00EC523C"/>
    <w:rsid w:val="00EC5B08"/>
    <w:rsid w:val="00EC5D2F"/>
    <w:rsid w:val="00EC7833"/>
    <w:rsid w:val="00EC7BF1"/>
    <w:rsid w:val="00EC7D8F"/>
    <w:rsid w:val="00ED1289"/>
    <w:rsid w:val="00ED2668"/>
    <w:rsid w:val="00ED38FF"/>
    <w:rsid w:val="00ED7069"/>
    <w:rsid w:val="00ED75F1"/>
    <w:rsid w:val="00EE03C7"/>
    <w:rsid w:val="00EE2E33"/>
    <w:rsid w:val="00EE466F"/>
    <w:rsid w:val="00EE46C2"/>
    <w:rsid w:val="00EE635A"/>
    <w:rsid w:val="00EE6517"/>
    <w:rsid w:val="00EE7AE3"/>
    <w:rsid w:val="00EF1144"/>
    <w:rsid w:val="00EF17D8"/>
    <w:rsid w:val="00EF205D"/>
    <w:rsid w:val="00EF2F45"/>
    <w:rsid w:val="00EF3324"/>
    <w:rsid w:val="00EF5452"/>
    <w:rsid w:val="00EF5D5B"/>
    <w:rsid w:val="00EF5EC1"/>
    <w:rsid w:val="00EF6433"/>
    <w:rsid w:val="00EF6499"/>
    <w:rsid w:val="00EF716F"/>
    <w:rsid w:val="00F00720"/>
    <w:rsid w:val="00F00CA7"/>
    <w:rsid w:val="00F01890"/>
    <w:rsid w:val="00F020C6"/>
    <w:rsid w:val="00F029BC"/>
    <w:rsid w:val="00F03098"/>
    <w:rsid w:val="00F0317F"/>
    <w:rsid w:val="00F03522"/>
    <w:rsid w:val="00F05601"/>
    <w:rsid w:val="00F05870"/>
    <w:rsid w:val="00F0606B"/>
    <w:rsid w:val="00F06BEE"/>
    <w:rsid w:val="00F06E16"/>
    <w:rsid w:val="00F07017"/>
    <w:rsid w:val="00F079D2"/>
    <w:rsid w:val="00F1310C"/>
    <w:rsid w:val="00F138D2"/>
    <w:rsid w:val="00F139E5"/>
    <w:rsid w:val="00F14BEE"/>
    <w:rsid w:val="00F154F7"/>
    <w:rsid w:val="00F16265"/>
    <w:rsid w:val="00F1675A"/>
    <w:rsid w:val="00F175F1"/>
    <w:rsid w:val="00F21F5B"/>
    <w:rsid w:val="00F232FA"/>
    <w:rsid w:val="00F249D3"/>
    <w:rsid w:val="00F25623"/>
    <w:rsid w:val="00F27204"/>
    <w:rsid w:val="00F27D56"/>
    <w:rsid w:val="00F30A49"/>
    <w:rsid w:val="00F32344"/>
    <w:rsid w:val="00F32804"/>
    <w:rsid w:val="00F3349B"/>
    <w:rsid w:val="00F3391C"/>
    <w:rsid w:val="00F33CA5"/>
    <w:rsid w:val="00F34141"/>
    <w:rsid w:val="00F348F4"/>
    <w:rsid w:val="00F35677"/>
    <w:rsid w:val="00F37057"/>
    <w:rsid w:val="00F4061F"/>
    <w:rsid w:val="00F41142"/>
    <w:rsid w:val="00F41E4A"/>
    <w:rsid w:val="00F41ECC"/>
    <w:rsid w:val="00F4241E"/>
    <w:rsid w:val="00F426E2"/>
    <w:rsid w:val="00F42882"/>
    <w:rsid w:val="00F429F8"/>
    <w:rsid w:val="00F42D5B"/>
    <w:rsid w:val="00F42E9C"/>
    <w:rsid w:val="00F42F55"/>
    <w:rsid w:val="00F44DDC"/>
    <w:rsid w:val="00F47248"/>
    <w:rsid w:val="00F50899"/>
    <w:rsid w:val="00F519C9"/>
    <w:rsid w:val="00F52229"/>
    <w:rsid w:val="00F525DF"/>
    <w:rsid w:val="00F5379D"/>
    <w:rsid w:val="00F53AD9"/>
    <w:rsid w:val="00F54BF0"/>
    <w:rsid w:val="00F55692"/>
    <w:rsid w:val="00F55E80"/>
    <w:rsid w:val="00F563A7"/>
    <w:rsid w:val="00F56776"/>
    <w:rsid w:val="00F56871"/>
    <w:rsid w:val="00F56DAE"/>
    <w:rsid w:val="00F56DC1"/>
    <w:rsid w:val="00F571A8"/>
    <w:rsid w:val="00F57E55"/>
    <w:rsid w:val="00F61265"/>
    <w:rsid w:val="00F61EE4"/>
    <w:rsid w:val="00F629A5"/>
    <w:rsid w:val="00F63990"/>
    <w:rsid w:val="00F63C82"/>
    <w:rsid w:val="00F6537F"/>
    <w:rsid w:val="00F66050"/>
    <w:rsid w:val="00F6605B"/>
    <w:rsid w:val="00F661A8"/>
    <w:rsid w:val="00F67A9D"/>
    <w:rsid w:val="00F7001C"/>
    <w:rsid w:val="00F70262"/>
    <w:rsid w:val="00F715C7"/>
    <w:rsid w:val="00F71BA9"/>
    <w:rsid w:val="00F72413"/>
    <w:rsid w:val="00F72504"/>
    <w:rsid w:val="00F72985"/>
    <w:rsid w:val="00F72DA3"/>
    <w:rsid w:val="00F73AC5"/>
    <w:rsid w:val="00F73FF5"/>
    <w:rsid w:val="00F741C2"/>
    <w:rsid w:val="00F74C88"/>
    <w:rsid w:val="00F7524F"/>
    <w:rsid w:val="00F75B42"/>
    <w:rsid w:val="00F75EA1"/>
    <w:rsid w:val="00F7646C"/>
    <w:rsid w:val="00F76B77"/>
    <w:rsid w:val="00F76F6E"/>
    <w:rsid w:val="00F77794"/>
    <w:rsid w:val="00F8007C"/>
    <w:rsid w:val="00F800B4"/>
    <w:rsid w:val="00F80278"/>
    <w:rsid w:val="00F8311B"/>
    <w:rsid w:val="00F83712"/>
    <w:rsid w:val="00F83EEE"/>
    <w:rsid w:val="00F85178"/>
    <w:rsid w:val="00F866D7"/>
    <w:rsid w:val="00F86F8C"/>
    <w:rsid w:val="00F8739D"/>
    <w:rsid w:val="00F924C9"/>
    <w:rsid w:val="00F9347E"/>
    <w:rsid w:val="00F95559"/>
    <w:rsid w:val="00F97172"/>
    <w:rsid w:val="00F97A26"/>
    <w:rsid w:val="00F97EBA"/>
    <w:rsid w:val="00FA01B5"/>
    <w:rsid w:val="00FA1337"/>
    <w:rsid w:val="00FA1C1E"/>
    <w:rsid w:val="00FA1DE0"/>
    <w:rsid w:val="00FA2399"/>
    <w:rsid w:val="00FA285A"/>
    <w:rsid w:val="00FA34C1"/>
    <w:rsid w:val="00FA39EC"/>
    <w:rsid w:val="00FA4D4E"/>
    <w:rsid w:val="00FA6C6B"/>
    <w:rsid w:val="00FB03CF"/>
    <w:rsid w:val="00FB19EF"/>
    <w:rsid w:val="00FB2E24"/>
    <w:rsid w:val="00FB3B3F"/>
    <w:rsid w:val="00FB523A"/>
    <w:rsid w:val="00FB5BC7"/>
    <w:rsid w:val="00FB5F85"/>
    <w:rsid w:val="00FB634C"/>
    <w:rsid w:val="00FB63BE"/>
    <w:rsid w:val="00FB6DD4"/>
    <w:rsid w:val="00FC1049"/>
    <w:rsid w:val="00FC1185"/>
    <w:rsid w:val="00FC1305"/>
    <w:rsid w:val="00FC15C9"/>
    <w:rsid w:val="00FC170F"/>
    <w:rsid w:val="00FC1FD5"/>
    <w:rsid w:val="00FC3D3B"/>
    <w:rsid w:val="00FC5683"/>
    <w:rsid w:val="00FC57D5"/>
    <w:rsid w:val="00FC78CB"/>
    <w:rsid w:val="00FD0A89"/>
    <w:rsid w:val="00FD0B33"/>
    <w:rsid w:val="00FD0D69"/>
    <w:rsid w:val="00FD19E1"/>
    <w:rsid w:val="00FD447F"/>
    <w:rsid w:val="00FD48AC"/>
    <w:rsid w:val="00FD4EA1"/>
    <w:rsid w:val="00FD57A0"/>
    <w:rsid w:val="00FD5D11"/>
    <w:rsid w:val="00FD6712"/>
    <w:rsid w:val="00FD694A"/>
    <w:rsid w:val="00FD6DB5"/>
    <w:rsid w:val="00FD6E69"/>
    <w:rsid w:val="00FD75CE"/>
    <w:rsid w:val="00FE0CB3"/>
    <w:rsid w:val="00FE0F95"/>
    <w:rsid w:val="00FE2A2A"/>
    <w:rsid w:val="00FE318C"/>
    <w:rsid w:val="00FE54E5"/>
    <w:rsid w:val="00FE56E4"/>
    <w:rsid w:val="00FE6281"/>
    <w:rsid w:val="00FE62F6"/>
    <w:rsid w:val="00FE7E2A"/>
    <w:rsid w:val="00FF067E"/>
    <w:rsid w:val="00FF08E1"/>
    <w:rsid w:val="00FF0A42"/>
    <w:rsid w:val="00FF0CF9"/>
    <w:rsid w:val="00FF11AC"/>
    <w:rsid w:val="00FF167C"/>
    <w:rsid w:val="00FF20DA"/>
    <w:rsid w:val="00FF21B6"/>
    <w:rsid w:val="00FF7A88"/>
    <w:rsid w:val="00FF7F37"/>
    <w:rsid w:val="018111CC"/>
    <w:rsid w:val="01BB4CF6"/>
    <w:rsid w:val="02BD22DD"/>
    <w:rsid w:val="03235C89"/>
    <w:rsid w:val="03823F46"/>
    <w:rsid w:val="04ED5D5E"/>
    <w:rsid w:val="06264856"/>
    <w:rsid w:val="07E811D9"/>
    <w:rsid w:val="085032D7"/>
    <w:rsid w:val="088C14B2"/>
    <w:rsid w:val="096279C7"/>
    <w:rsid w:val="0B713B49"/>
    <w:rsid w:val="0D67638E"/>
    <w:rsid w:val="11373115"/>
    <w:rsid w:val="13FF4B24"/>
    <w:rsid w:val="144144C3"/>
    <w:rsid w:val="1608044E"/>
    <w:rsid w:val="16513F18"/>
    <w:rsid w:val="168F5F41"/>
    <w:rsid w:val="17F24CD7"/>
    <w:rsid w:val="18B55001"/>
    <w:rsid w:val="191F19B7"/>
    <w:rsid w:val="1B621EDA"/>
    <w:rsid w:val="1CA120D9"/>
    <w:rsid w:val="206B11DC"/>
    <w:rsid w:val="21BB15E6"/>
    <w:rsid w:val="21D06F27"/>
    <w:rsid w:val="23177D22"/>
    <w:rsid w:val="23A24BC4"/>
    <w:rsid w:val="257D7C2C"/>
    <w:rsid w:val="25940EC0"/>
    <w:rsid w:val="260E572C"/>
    <w:rsid w:val="26CD14C9"/>
    <w:rsid w:val="2799319D"/>
    <w:rsid w:val="286877F7"/>
    <w:rsid w:val="29267A75"/>
    <w:rsid w:val="296345EE"/>
    <w:rsid w:val="2AA253D1"/>
    <w:rsid w:val="2B561E55"/>
    <w:rsid w:val="2C305CE3"/>
    <w:rsid w:val="2DC719A6"/>
    <w:rsid w:val="2DC76F9C"/>
    <w:rsid w:val="2DE534F3"/>
    <w:rsid w:val="2E3318A9"/>
    <w:rsid w:val="2E434D75"/>
    <w:rsid w:val="2EF06015"/>
    <w:rsid w:val="2F1F6FF8"/>
    <w:rsid w:val="2FFB0404"/>
    <w:rsid w:val="30A10E63"/>
    <w:rsid w:val="30D27B3E"/>
    <w:rsid w:val="32187A8F"/>
    <w:rsid w:val="33297F3F"/>
    <w:rsid w:val="33CB3F05"/>
    <w:rsid w:val="36C7786B"/>
    <w:rsid w:val="371864C8"/>
    <w:rsid w:val="38945C5F"/>
    <w:rsid w:val="3995541F"/>
    <w:rsid w:val="3A9A25A4"/>
    <w:rsid w:val="40E37BB5"/>
    <w:rsid w:val="41DE5E59"/>
    <w:rsid w:val="41E70CD9"/>
    <w:rsid w:val="46B16357"/>
    <w:rsid w:val="47A90647"/>
    <w:rsid w:val="4A153397"/>
    <w:rsid w:val="4B6A636F"/>
    <w:rsid w:val="4BF4241B"/>
    <w:rsid w:val="4CA14557"/>
    <w:rsid w:val="4E2C6771"/>
    <w:rsid w:val="4F955AC1"/>
    <w:rsid w:val="4FBB7475"/>
    <w:rsid w:val="4FD5778D"/>
    <w:rsid w:val="50DA3C3D"/>
    <w:rsid w:val="5277742D"/>
    <w:rsid w:val="52C31775"/>
    <w:rsid w:val="53A936CE"/>
    <w:rsid w:val="540E59D0"/>
    <w:rsid w:val="549548FE"/>
    <w:rsid w:val="54A23DFB"/>
    <w:rsid w:val="561E3D8F"/>
    <w:rsid w:val="5661437A"/>
    <w:rsid w:val="56701641"/>
    <w:rsid w:val="57786464"/>
    <w:rsid w:val="581540F6"/>
    <w:rsid w:val="59077F3B"/>
    <w:rsid w:val="5982763D"/>
    <w:rsid w:val="5B8B20D7"/>
    <w:rsid w:val="5C6E11D1"/>
    <w:rsid w:val="5E1B2FA4"/>
    <w:rsid w:val="5FB50874"/>
    <w:rsid w:val="6504028A"/>
    <w:rsid w:val="653D36AE"/>
    <w:rsid w:val="65F02FDF"/>
    <w:rsid w:val="672C4DAE"/>
    <w:rsid w:val="673D5497"/>
    <w:rsid w:val="673F692C"/>
    <w:rsid w:val="69352FC3"/>
    <w:rsid w:val="6A857B4C"/>
    <w:rsid w:val="6B182E9A"/>
    <w:rsid w:val="6CCE126A"/>
    <w:rsid w:val="6D6E3FFA"/>
    <w:rsid w:val="6EDC273F"/>
    <w:rsid w:val="711D1E91"/>
    <w:rsid w:val="792E3A54"/>
    <w:rsid w:val="79A6081E"/>
    <w:rsid w:val="7ABF221A"/>
    <w:rsid w:val="7C666F6E"/>
    <w:rsid w:val="7DBC2BB1"/>
    <w:rsid w:val="7DE22437"/>
    <w:rsid w:val="7E44367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9"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uiPriority="99" w:name="Normal (Web)"/>
    <w:lsdException w:qFormat="1" w:unhideWhenUsed="0" w:uiPriority="0" w:semiHidden="0"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4"/>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line="560" w:lineRule="exact"/>
      <w:ind w:firstLine="567"/>
      <w:outlineLvl w:val="1"/>
    </w:pPr>
    <w:rPr>
      <w:rFonts w:ascii="华文中宋" w:hAnsi="华文中宋" w:eastAsia="黑体" w:cs="宋体"/>
      <w:sz w:val="36"/>
    </w:rPr>
  </w:style>
  <w:style w:type="paragraph" w:styleId="5">
    <w:name w:val="heading 3"/>
    <w:basedOn w:val="1"/>
    <w:next w:val="1"/>
    <w:link w:val="31"/>
    <w:unhideWhenUsed/>
    <w:qFormat/>
    <w:uiPriority w:val="99"/>
    <w:pPr>
      <w:keepNext/>
      <w:keepLines/>
      <w:spacing w:beforeLines="50" w:afterLines="50" w:line="440" w:lineRule="exact"/>
      <w:outlineLvl w:val="2"/>
    </w:pPr>
    <w:rPr>
      <w:rFonts w:eastAsia="宋体" w:cs="Times New Roman"/>
      <w:b/>
      <w:bCs/>
      <w:sz w:val="28"/>
      <w:szCs w:val="32"/>
    </w:rPr>
  </w:style>
  <w:style w:type="paragraph" w:styleId="6">
    <w:name w:val="heading 4"/>
    <w:basedOn w:val="1"/>
    <w:next w:val="1"/>
    <w:link w:val="32"/>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6"/>
    <w:basedOn w:val="1"/>
    <w:next w:val="1"/>
    <w:link w:val="33"/>
    <w:semiHidden/>
    <w:unhideWhenUsed/>
    <w:qFormat/>
    <w:uiPriority w:val="9"/>
    <w:pPr>
      <w:keepNext/>
      <w:keepLines/>
      <w:spacing w:before="240" w:after="64" w:line="320" w:lineRule="auto"/>
      <w:outlineLvl w:val="5"/>
    </w:pPr>
    <w:rPr>
      <w:rFonts w:asciiTheme="majorHAnsi" w:hAnsiTheme="majorHAnsi" w:eastAsiaTheme="majorEastAsia" w:cstheme="majorBidi"/>
      <w:b/>
      <w:bCs/>
      <w:szCs w:val="24"/>
    </w:rPr>
  </w:style>
  <w:style w:type="paragraph" w:styleId="8">
    <w:name w:val="heading 9"/>
    <w:basedOn w:val="1"/>
    <w:next w:val="1"/>
    <w:link w:val="34"/>
    <w:semiHidden/>
    <w:unhideWhenUsed/>
    <w:qFormat/>
    <w:uiPriority w:val="9"/>
    <w:pPr>
      <w:keepNext/>
      <w:keepLines/>
      <w:spacing w:before="240" w:after="64" w:line="320" w:lineRule="auto"/>
      <w:outlineLvl w:val="8"/>
    </w:pPr>
    <w:rPr>
      <w:rFonts w:asciiTheme="majorHAnsi" w:hAnsiTheme="majorHAnsi" w:eastAsiaTheme="majorEastAsia" w:cstheme="majorBidi"/>
      <w:sz w:val="21"/>
      <w:szCs w:val="21"/>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pacing w:line="360" w:lineRule="auto"/>
      <w:ind w:firstLine="200" w:firstLineChars="200"/>
    </w:pPr>
    <w:rPr>
      <w:rFonts w:ascii="Times New Roman" w:hAnsi="Times New Roman" w:eastAsia="宋体"/>
      <w:spacing w:val="15"/>
      <w:sz w:val="28"/>
      <w:szCs w:val="28"/>
    </w:rPr>
  </w:style>
  <w:style w:type="paragraph" w:styleId="9">
    <w:name w:val="toc 7"/>
    <w:basedOn w:val="1"/>
    <w:next w:val="1"/>
    <w:unhideWhenUsed/>
    <w:qFormat/>
    <w:uiPriority w:val="39"/>
    <w:pPr>
      <w:ind w:left="2520" w:leftChars="1200"/>
    </w:pPr>
    <w:rPr>
      <w:rFonts w:asciiTheme="minorHAnsi" w:hAnsiTheme="minorHAnsi"/>
      <w:sz w:val="21"/>
    </w:rPr>
  </w:style>
  <w:style w:type="paragraph" w:styleId="10">
    <w:name w:val="Document Map"/>
    <w:basedOn w:val="1"/>
    <w:link w:val="45"/>
    <w:unhideWhenUsed/>
    <w:qFormat/>
    <w:uiPriority w:val="99"/>
    <w:rPr>
      <w:rFonts w:ascii="宋体" w:eastAsia="宋体"/>
      <w:sz w:val="18"/>
      <w:szCs w:val="18"/>
    </w:rPr>
  </w:style>
  <w:style w:type="paragraph" w:styleId="11">
    <w:name w:val="Body Text Indent"/>
    <w:basedOn w:val="1"/>
    <w:uiPriority w:val="0"/>
    <w:pPr>
      <w:spacing w:after="120"/>
      <w:ind w:left="420" w:leftChars="200"/>
    </w:pPr>
  </w:style>
  <w:style w:type="paragraph" w:styleId="12">
    <w:name w:val="toc 5"/>
    <w:basedOn w:val="1"/>
    <w:next w:val="1"/>
    <w:unhideWhenUsed/>
    <w:qFormat/>
    <w:uiPriority w:val="39"/>
    <w:pPr>
      <w:ind w:left="1680" w:leftChars="800"/>
    </w:pPr>
    <w:rPr>
      <w:rFonts w:asciiTheme="minorHAnsi" w:hAnsiTheme="minorHAnsi"/>
      <w:sz w:val="21"/>
    </w:rPr>
  </w:style>
  <w:style w:type="paragraph" w:styleId="13">
    <w:name w:val="toc 3"/>
    <w:basedOn w:val="1"/>
    <w:next w:val="1"/>
    <w:unhideWhenUsed/>
    <w:qFormat/>
    <w:uiPriority w:val="39"/>
    <w:pPr>
      <w:tabs>
        <w:tab w:val="right" w:leader="dot" w:pos="8880"/>
      </w:tabs>
      <w:spacing w:line="500" w:lineRule="exact"/>
      <w:ind w:firstLine="400" w:firstLineChars="400"/>
    </w:pPr>
  </w:style>
  <w:style w:type="paragraph" w:styleId="14">
    <w:name w:val="Plain Text"/>
    <w:basedOn w:val="1"/>
    <w:qFormat/>
    <w:uiPriority w:val="0"/>
    <w:rPr>
      <w:rFonts w:ascii="宋体" w:hAnsi="Courier New" w:eastAsia="宋体" w:cs="Courier New"/>
      <w:szCs w:val="21"/>
    </w:rPr>
  </w:style>
  <w:style w:type="paragraph" w:styleId="15">
    <w:name w:val="toc 8"/>
    <w:basedOn w:val="1"/>
    <w:next w:val="1"/>
    <w:unhideWhenUsed/>
    <w:qFormat/>
    <w:uiPriority w:val="39"/>
    <w:pPr>
      <w:ind w:left="2940" w:leftChars="1400"/>
    </w:pPr>
    <w:rPr>
      <w:rFonts w:asciiTheme="minorHAnsi" w:hAnsiTheme="minorHAnsi"/>
      <w:sz w:val="21"/>
    </w:rPr>
  </w:style>
  <w:style w:type="paragraph" w:styleId="16">
    <w:name w:val="Balloon Text"/>
    <w:basedOn w:val="1"/>
    <w:link w:val="52"/>
    <w:semiHidden/>
    <w:unhideWhenUsed/>
    <w:qFormat/>
    <w:uiPriority w:val="99"/>
    <w:rPr>
      <w:sz w:val="18"/>
      <w:szCs w:val="18"/>
    </w:rPr>
  </w:style>
  <w:style w:type="paragraph" w:styleId="17">
    <w:name w:val="footer"/>
    <w:basedOn w:val="1"/>
    <w:link w:val="46"/>
    <w:unhideWhenUsed/>
    <w:qFormat/>
    <w:uiPriority w:val="99"/>
    <w:pPr>
      <w:tabs>
        <w:tab w:val="center" w:pos="4153"/>
        <w:tab w:val="right" w:pos="8306"/>
      </w:tabs>
      <w:snapToGrid w:val="0"/>
      <w:jc w:val="left"/>
    </w:pPr>
    <w:rPr>
      <w:sz w:val="18"/>
      <w:szCs w:val="18"/>
    </w:rPr>
  </w:style>
  <w:style w:type="paragraph" w:styleId="18">
    <w:name w:val="header"/>
    <w:basedOn w:val="1"/>
    <w:link w:val="47"/>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tabs>
        <w:tab w:val="right" w:leader="dot" w:pos="8880"/>
      </w:tabs>
      <w:spacing w:line="500" w:lineRule="exact"/>
    </w:pPr>
    <w:rPr>
      <w:rFonts w:eastAsia="黑体"/>
      <w:b/>
      <w:sz w:val="30"/>
      <w:szCs w:val="30"/>
    </w:rPr>
  </w:style>
  <w:style w:type="paragraph" w:styleId="20">
    <w:name w:val="toc 4"/>
    <w:basedOn w:val="1"/>
    <w:next w:val="1"/>
    <w:unhideWhenUsed/>
    <w:qFormat/>
    <w:uiPriority w:val="39"/>
    <w:pPr>
      <w:ind w:left="1260" w:leftChars="600"/>
    </w:pPr>
    <w:rPr>
      <w:rFonts w:asciiTheme="minorHAnsi" w:hAnsiTheme="minorHAnsi"/>
      <w:sz w:val="21"/>
    </w:rPr>
  </w:style>
  <w:style w:type="paragraph" w:styleId="21">
    <w:name w:val="toc 6"/>
    <w:basedOn w:val="1"/>
    <w:next w:val="1"/>
    <w:unhideWhenUsed/>
    <w:qFormat/>
    <w:uiPriority w:val="39"/>
    <w:pPr>
      <w:ind w:left="2100" w:leftChars="1000"/>
    </w:pPr>
    <w:rPr>
      <w:rFonts w:asciiTheme="minorHAnsi" w:hAnsiTheme="minorHAnsi"/>
      <w:sz w:val="21"/>
    </w:rPr>
  </w:style>
  <w:style w:type="paragraph" w:styleId="22">
    <w:name w:val="toc 2"/>
    <w:basedOn w:val="1"/>
    <w:next w:val="1"/>
    <w:unhideWhenUsed/>
    <w:qFormat/>
    <w:uiPriority w:val="39"/>
    <w:pPr>
      <w:tabs>
        <w:tab w:val="right" w:leader="dot" w:pos="8880"/>
      </w:tabs>
      <w:spacing w:line="500" w:lineRule="exact"/>
      <w:ind w:firstLine="200" w:firstLineChars="200"/>
    </w:pPr>
    <w:rPr>
      <w:b/>
    </w:rPr>
  </w:style>
  <w:style w:type="paragraph" w:styleId="23">
    <w:name w:val="toc 9"/>
    <w:basedOn w:val="1"/>
    <w:next w:val="1"/>
    <w:unhideWhenUsed/>
    <w:qFormat/>
    <w:uiPriority w:val="39"/>
    <w:pPr>
      <w:ind w:left="3360" w:leftChars="1600"/>
    </w:pPr>
    <w:rPr>
      <w:rFonts w:asciiTheme="minorHAnsi" w:hAnsiTheme="minorHAnsi"/>
      <w:sz w:val="21"/>
    </w:rPr>
  </w:style>
  <w:style w:type="table" w:styleId="25">
    <w:name w:val="Table Grid"/>
    <w:basedOn w:val="2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7">
    <w:name w:val="page number"/>
    <w:basedOn w:val="26"/>
    <w:qFormat/>
    <w:uiPriority w:val="0"/>
  </w:style>
  <w:style w:type="character" w:styleId="28">
    <w:name w:val="FollowedHyperlink"/>
    <w:basedOn w:val="26"/>
    <w:semiHidden/>
    <w:unhideWhenUsed/>
    <w:qFormat/>
    <w:uiPriority w:val="99"/>
    <w:rPr>
      <w:color w:val="800080"/>
      <w:u w:val="single"/>
    </w:rPr>
  </w:style>
  <w:style w:type="character" w:styleId="29">
    <w:name w:val="HTML Acronym"/>
    <w:basedOn w:val="26"/>
    <w:qFormat/>
    <w:uiPriority w:val="0"/>
  </w:style>
  <w:style w:type="character" w:styleId="30">
    <w:name w:val="Hyperlink"/>
    <w:basedOn w:val="26"/>
    <w:unhideWhenUsed/>
    <w:qFormat/>
    <w:uiPriority w:val="99"/>
    <w:rPr>
      <w:color w:val="0000FF" w:themeColor="hyperlink"/>
      <w:u w:val="single"/>
    </w:rPr>
  </w:style>
  <w:style w:type="character" w:customStyle="1" w:styleId="31">
    <w:name w:val="标题 3 Char"/>
    <w:basedOn w:val="26"/>
    <w:link w:val="5"/>
    <w:qFormat/>
    <w:uiPriority w:val="99"/>
    <w:rPr>
      <w:rFonts w:ascii="Times New Roman" w:hAnsi="Times New Roman" w:eastAsia="宋体" w:cs="Times New Roman"/>
      <w:b/>
      <w:bCs/>
      <w:sz w:val="28"/>
      <w:szCs w:val="32"/>
    </w:rPr>
  </w:style>
  <w:style w:type="character" w:customStyle="1" w:styleId="32">
    <w:name w:val="标题 4 Char"/>
    <w:basedOn w:val="26"/>
    <w:link w:val="6"/>
    <w:qFormat/>
    <w:uiPriority w:val="0"/>
    <w:rPr>
      <w:rFonts w:asciiTheme="majorHAnsi" w:hAnsiTheme="majorHAnsi" w:eastAsiaTheme="majorEastAsia" w:cstheme="majorBidi"/>
      <w:b/>
      <w:bCs/>
      <w:sz w:val="28"/>
      <w:szCs w:val="28"/>
    </w:rPr>
  </w:style>
  <w:style w:type="character" w:customStyle="1" w:styleId="33">
    <w:name w:val="标题 6 Char"/>
    <w:basedOn w:val="26"/>
    <w:link w:val="7"/>
    <w:qFormat/>
    <w:uiPriority w:val="0"/>
    <w:rPr>
      <w:rFonts w:asciiTheme="majorHAnsi" w:hAnsiTheme="majorHAnsi" w:eastAsiaTheme="majorEastAsia" w:cstheme="majorBidi"/>
      <w:b/>
      <w:bCs/>
      <w:sz w:val="24"/>
      <w:szCs w:val="24"/>
    </w:rPr>
  </w:style>
  <w:style w:type="character" w:customStyle="1" w:styleId="34">
    <w:name w:val="标题 9 Char"/>
    <w:basedOn w:val="26"/>
    <w:link w:val="8"/>
    <w:qFormat/>
    <w:uiPriority w:val="0"/>
    <w:rPr>
      <w:rFonts w:asciiTheme="majorHAnsi" w:hAnsiTheme="majorHAnsi" w:eastAsiaTheme="majorEastAsia" w:cstheme="majorBidi"/>
      <w:szCs w:val="21"/>
    </w:rPr>
  </w:style>
  <w:style w:type="paragraph" w:customStyle="1" w:styleId="35">
    <w:name w:val="DTX-03"/>
    <w:link w:val="36"/>
    <w:qFormat/>
    <w:uiPriority w:val="0"/>
    <w:pPr>
      <w:keepNext/>
      <w:widowControl w:val="0"/>
      <w:adjustRightInd w:val="0"/>
      <w:snapToGrid w:val="0"/>
      <w:spacing w:line="500" w:lineRule="exact"/>
      <w:outlineLvl w:val="2"/>
    </w:pPr>
    <w:rPr>
      <w:rFonts w:ascii="Times Roman" w:hAnsi="Times Roman" w:eastAsia="黑体" w:cs="Times New Roman"/>
      <w:b/>
      <w:kern w:val="2"/>
      <w:sz w:val="24"/>
      <w:szCs w:val="28"/>
      <w:lang w:val="en-US" w:eastAsia="zh-CN" w:bidi="ar-SA"/>
    </w:rPr>
  </w:style>
  <w:style w:type="character" w:customStyle="1" w:styleId="36">
    <w:name w:val="DTX-03 Char"/>
    <w:link w:val="35"/>
    <w:qFormat/>
    <w:uiPriority w:val="0"/>
    <w:rPr>
      <w:rFonts w:ascii="Times Roman" w:hAnsi="Times Roman" w:eastAsia="黑体" w:cs="Times New Roman"/>
      <w:b/>
      <w:sz w:val="24"/>
      <w:szCs w:val="28"/>
    </w:rPr>
  </w:style>
  <w:style w:type="paragraph" w:customStyle="1" w:styleId="37">
    <w:name w:val="DTX-02"/>
    <w:link w:val="38"/>
    <w:qFormat/>
    <w:uiPriority w:val="0"/>
    <w:pPr>
      <w:keepNext/>
      <w:widowControl w:val="0"/>
      <w:tabs>
        <w:tab w:val="left" w:pos="-180"/>
      </w:tabs>
      <w:adjustRightInd w:val="0"/>
      <w:snapToGrid w:val="0"/>
      <w:spacing w:line="540" w:lineRule="exact"/>
      <w:outlineLvl w:val="1"/>
    </w:pPr>
    <w:rPr>
      <w:rFonts w:ascii="Times New Roman" w:hAnsi="Times New Roman" w:eastAsia="黑体" w:cs="Times New Roman"/>
      <w:b/>
      <w:bCs/>
      <w:kern w:val="2"/>
      <w:sz w:val="28"/>
      <w:szCs w:val="24"/>
      <w:lang w:val="en-US" w:eastAsia="zh-CN" w:bidi="ar-SA"/>
    </w:rPr>
  </w:style>
  <w:style w:type="character" w:customStyle="1" w:styleId="38">
    <w:name w:val="DTX-02 Char"/>
    <w:basedOn w:val="26"/>
    <w:link w:val="37"/>
    <w:qFormat/>
    <w:uiPriority w:val="0"/>
    <w:rPr>
      <w:rFonts w:ascii="Times New Roman" w:hAnsi="Times New Roman" w:eastAsia="黑体" w:cs="Times New Roman"/>
      <w:b/>
      <w:bCs/>
      <w:sz w:val="28"/>
      <w:szCs w:val="24"/>
    </w:rPr>
  </w:style>
  <w:style w:type="paragraph" w:customStyle="1" w:styleId="39">
    <w:name w:val="DTX-01"/>
    <w:qFormat/>
    <w:uiPriority w:val="0"/>
    <w:pPr>
      <w:widowControl w:val="0"/>
      <w:adjustRightInd w:val="0"/>
      <w:snapToGrid w:val="0"/>
      <w:spacing w:line="700" w:lineRule="exact"/>
      <w:outlineLvl w:val="0"/>
    </w:pPr>
    <w:rPr>
      <w:rFonts w:ascii="Times New Roman" w:hAnsi="Times New Roman" w:eastAsia="黑体" w:cs="Times New Roman"/>
      <w:b/>
      <w:kern w:val="0"/>
      <w:sz w:val="30"/>
      <w:szCs w:val="20"/>
      <w:lang w:val="en-US" w:eastAsia="zh-CN" w:bidi="ar-SA"/>
    </w:rPr>
  </w:style>
  <w:style w:type="paragraph" w:customStyle="1" w:styleId="40">
    <w:name w:val="BS-WZ"/>
    <w:link w:val="41"/>
    <w:qFormat/>
    <w:uiPriority w:val="0"/>
    <w:pPr>
      <w:widowControl w:val="0"/>
      <w:adjustRightInd w:val="0"/>
      <w:snapToGrid w:val="0"/>
      <w:spacing w:line="500" w:lineRule="exact"/>
      <w:ind w:firstLine="200" w:firstLineChars="200"/>
      <w:jc w:val="both"/>
    </w:pPr>
    <w:rPr>
      <w:rFonts w:ascii="Times New Roman" w:hAnsi="Times New Roman" w:eastAsia="宋体" w:cs="Times New Roman"/>
      <w:bCs/>
      <w:kern w:val="2"/>
      <w:sz w:val="24"/>
      <w:szCs w:val="24"/>
      <w:lang w:val="en-US" w:eastAsia="zh-CN" w:bidi="ar-SA"/>
    </w:rPr>
  </w:style>
  <w:style w:type="character" w:customStyle="1" w:styleId="41">
    <w:name w:val="BS-WZ Char"/>
    <w:basedOn w:val="26"/>
    <w:link w:val="40"/>
    <w:qFormat/>
    <w:uiPriority w:val="0"/>
    <w:rPr>
      <w:rFonts w:ascii="Times New Roman" w:hAnsi="Times New Roman" w:eastAsia="宋体" w:cs="Times New Roman"/>
      <w:bCs/>
      <w:sz w:val="24"/>
      <w:szCs w:val="24"/>
    </w:rPr>
  </w:style>
  <w:style w:type="paragraph" w:customStyle="1" w:styleId="42">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paragraph" w:customStyle="1" w:styleId="43">
    <w:name w:val="DTX-WZ"/>
    <w:link w:val="44"/>
    <w:qFormat/>
    <w:uiPriority w:val="0"/>
    <w:pPr>
      <w:widowControl w:val="0"/>
      <w:adjustRightInd w:val="0"/>
      <w:snapToGrid w:val="0"/>
      <w:spacing w:line="500" w:lineRule="exact"/>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4">
    <w:name w:val="DTX-WZ Char"/>
    <w:basedOn w:val="26"/>
    <w:link w:val="43"/>
    <w:qFormat/>
    <w:uiPriority w:val="0"/>
    <w:rPr>
      <w:rFonts w:ascii="Times New Roman" w:hAnsi="Times New Roman" w:eastAsia="宋体" w:cs="Times New Roman"/>
      <w:sz w:val="24"/>
      <w:szCs w:val="24"/>
    </w:rPr>
  </w:style>
  <w:style w:type="character" w:customStyle="1" w:styleId="45">
    <w:name w:val="文档结构图 Char"/>
    <w:basedOn w:val="26"/>
    <w:link w:val="10"/>
    <w:qFormat/>
    <w:uiPriority w:val="99"/>
    <w:rPr>
      <w:rFonts w:ascii="宋体" w:hAnsi="Times New Roman" w:eastAsia="宋体"/>
      <w:sz w:val="18"/>
      <w:szCs w:val="18"/>
    </w:rPr>
  </w:style>
  <w:style w:type="character" w:customStyle="1" w:styleId="46">
    <w:name w:val="页脚 Char"/>
    <w:basedOn w:val="26"/>
    <w:link w:val="17"/>
    <w:qFormat/>
    <w:uiPriority w:val="99"/>
    <w:rPr>
      <w:rFonts w:ascii="Times New Roman" w:hAnsi="Times New Roman"/>
      <w:sz w:val="18"/>
      <w:szCs w:val="18"/>
    </w:rPr>
  </w:style>
  <w:style w:type="character" w:customStyle="1" w:styleId="47">
    <w:name w:val="页眉 Char"/>
    <w:basedOn w:val="26"/>
    <w:link w:val="18"/>
    <w:qFormat/>
    <w:uiPriority w:val="99"/>
    <w:rPr>
      <w:rFonts w:ascii="Times New Roman" w:hAnsi="Times New Roman"/>
      <w:sz w:val="18"/>
      <w:szCs w:val="18"/>
    </w:rPr>
  </w:style>
  <w:style w:type="paragraph" w:customStyle="1" w:styleId="48">
    <w:name w:val="DTX-BT"/>
    <w:next w:val="1"/>
    <w:link w:val="49"/>
    <w:qFormat/>
    <w:uiPriority w:val="0"/>
    <w:pPr>
      <w:widowControl w:val="0"/>
      <w:tabs>
        <w:tab w:val="center" w:pos="4515"/>
        <w:tab w:val="right" w:pos="9030"/>
      </w:tabs>
      <w:adjustRightInd w:val="0"/>
      <w:snapToGrid w:val="0"/>
      <w:spacing w:line="480" w:lineRule="exact"/>
    </w:pPr>
    <w:rPr>
      <w:rFonts w:ascii="Times New Roman" w:hAnsi="Times New Roman" w:eastAsia="黑体" w:cs="Times New Roman"/>
      <w:b/>
      <w:kern w:val="2"/>
      <w:sz w:val="24"/>
      <w:szCs w:val="30"/>
      <w:lang w:val="en-US" w:eastAsia="zh-CN" w:bidi="ar-SA"/>
    </w:rPr>
  </w:style>
  <w:style w:type="character" w:customStyle="1" w:styleId="49">
    <w:name w:val="DTX-BT Char"/>
    <w:basedOn w:val="26"/>
    <w:link w:val="48"/>
    <w:qFormat/>
    <w:uiPriority w:val="0"/>
    <w:rPr>
      <w:rFonts w:ascii="Times New Roman" w:hAnsi="Times New Roman" w:eastAsia="黑体" w:cs="Times New Roman"/>
      <w:b/>
      <w:sz w:val="24"/>
      <w:szCs w:val="30"/>
    </w:rPr>
  </w:style>
  <w:style w:type="paragraph" w:customStyle="1" w:styleId="50">
    <w:name w:val="DTX-BG"/>
    <w:link w:val="51"/>
    <w:qFormat/>
    <w:uiPriority w:val="0"/>
    <w:pPr>
      <w:widowControl w:val="0"/>
      <w:adjustRightInd w:val="0"/>
      <w:snapToGrid w:val="0"/>
      <w:spacing w:line="400" w:lineRule="exact"/>
      <w:jc w:val="center"/>
    </w:pPr>
    <w:rPr>
      <w:rFonts w:ascii="Times New Roman" w:hAnsi="Times New Roman" w:eastAsia="宋体" w:cs="Times New Roman"/>
      <w:kern w:val="2"/>
      <w:sz w:val="21"/>
      <w:szCs w:val="21"/>
      <w:lang w:val="en-US" w:eastAsia="zh-CN" w:bidi="ar-SA"/>
    </w:rPr>
  </w:style>
  <w:style w:type="character" w:customStyle="1" w:styleId="51">
    <w:name w:val="DTX-BG Char"/>
    <w:link w:val="50"/>
    <w:qFormat/>
    <w:uiPriority w:val="0"/>
    <w:rPr>
      <w:rFonts w:ascii="Times New Roman" w:hAnsi="Times New Roman" w:eastAsia="宋体" w:cs="Times New Roman"/>
      <w:szCs w:val="21"/>
    </w:rPr>
  </w:style>
  <w:style w:type="character" w:customStyle="1" w:styleId="52">
    <w:name w:val="批注框文本 Char"/>
    <w:basedOn w:val="26"/>
    <w:link w:val="16"/>
    <w:semiHidden/>
    <w:qFormat/>
    <w:uiPriority w:val="99"/>
    <w:rPr>
      <w:rFonts w:ascii="Times New Roman" w:hAnsi="Times New Roman"/>
      <w:sz w:val="18"/>
      <w:szCs w:val="18"/>
    </w:rPr>
  </w:style>
  <w:style w:type="paragraph" w:customStyle="1" w:styleId="53">
    <w:name w:val="表格内容（居中）"/>
    <w:basedOn w:val="1"/>
    <w:qFormat/>
    <w:uiPriority w:val="0"/>
    <w:pPr>
      <w:jc w:val="center"/>
    </w:pPr>
    <w:rPr>
      <w:rFonts w:eastAsia="宋体" w:cs="宋体"/>
      <w:kern w:val="0"/>
      <w:sz w:val="21"/>
      <w:szCs w:val="20"/>
    </w:rPr>
  </w:style>
  <w:style w:type="paragraph" w:customStyle="1" w:styleId="54">
    <w:name w:val="BS-BG"/>
    <w:link w:val="55"/>
    <w:qFormat/>
    <w:uiPriority w:val="0"/>
    <w:pPr>
      <w:widowControl w:val="0"/>
      <w:adjustRightInd w:val="0"/>
      <w:snapToGrid w:val="0"/>
      <w:spacing w:line="400" w:lineRule="exact"/>
      <w:jc w:val="center"/>
    </w:pPr>
    <w:rPr>
      <w:rFonts w:ascii="Times New Roman" w:hAnsi="Times New Roman" w:eastAsia="宋体" w:cs="Times New Roman"/>
      <w:kern w:val="0"/>
      <w:sz w:val="21"/>
      <w:szCs w:val="30"/>
      <w:lang w:val="en-US" w:eastAsia="zh-CN" w:bidi="ar-SA"/>
    </w:rPr>
  </w:style>
  <w:style w:type="character" w:customStyle="1" w:styleId="55">
    <w:name w:val="BS-BG Char"/>
    <w:basedOn w:val="26"/>
    <w:link w:val="54"/>
    <w:qFormat/>
    <w:uiPriority w:val="0"/>
    <w:rPr>
      <w:rFonts w:ascii="Times New Roman" w:hAnsi="Times New Roman" w:eastAsia="宋体" w:cs="Times New Roman"/>
      <w:kern w:val="0"/>
      <w:szCs w:val="30"/>
    </w:rPr>
  </w:style>
  <w:style w:type="paragraph" w:customStyle="1" w:styleId="56">
    <w:name w:val="BS-BT"/>
    <w:qFormat/>
    <w:uiPriority w:val="0"/>
    <w:pPr>
      <w:widowControl w:val="0"/>
      <w:tabs>
        <w:tab w:val="center" w:pos="4410"/>
        <w:tab w:val="right" w:pos="8820"/>
      </w:tabs>
      <w:adjustRightInd w:val="0"/>
      <w:snapToGrid w:val="0"/>
      <w:spacing w:line="500" w:lineRule="exact"/>
      <w:jc w:val="both"/>
    </w:pPr>
    <w:rPr>
      <w:rFonts w:ascii="Times New Roman" w:hAnsi="Times New Roman" w:eastAsia="黑体" w:cs="Times New Roman"/>
      <w:b/>
      <w:kern w:val="2"/>
      <w:sz w:val="24"/>
      <w:szCs w:val="30"/>
      <w:lang w:val="en-US" w:eastAsia="zh-CN" w:bidi="ar-SA"/>
    </w:rPr>
  </w:style>
  <w:style w:type="character" w:customStyle="1" w:styleId="57">
    <w:name w:val="DTX-WZ Char Char"/>
    <w:basedOn w:val="26"/>
    <w:qFormat/>
    <w:uiPriority w:val="0"/>
    <w:rPr>
      <w:kern w:val="2"/>
      <w:sz w:val="24"/>
      <w:szCs w:val="24"/>
    </w:rPr>
  </w:style>
  <w:style w:type="character" w:customStyle="1" w:styleId="58">
    <w:name w:val="SB-ZW Char Char"/>
    <w:basedOn w:val="26"/>
    <w:link w:val="59"/>
    <w:qFormat/>
    <w:uiPriority w:val="0"/>
    <w:rPr>
      <w:rFonts w:eastAsia="宋体"/>
      <w:sz w:val="24"/>
      <w:szCs w:val="24"/>
    </w:rPr>
  </w:style>
  <w:style w:type="paragraph" w:customStyle="1" w:styleId="59">
    <w:name w:val="SB-ZW"/>
    <w:basedOn w:val="1"/>
    <w:link w:val="58"/>
    <w:qFormat/>
    <w:uiPriority w:val="0"/>
    <w:pPr>
      <w:autoSpaceDE w:val="0"/>
      <w:autoSpaceDN w:val="0"/>
      <w:adjustRightInd w:val="0"/>
      <w:snapToGrid w:val="0"/>
      <w:spacing w:line="500" w:lineRule="exact"/>
      <w:ind w:firstLine="200" w:firstLineChars="200"/>
    </w:pPr>
    <w:rPr>
      <w:rFonts w:eastAsia="宋体" w:asciiTheme="minorHAnsi" w:hAnsiTheme="minorHAnsi"/>
      <w:szCs w:val="24"/>
    </w:rPr>
  </w:style>
  <w:style w:type="character" w:customStyle="1" w:styleId="60">
    <w:name w:val="样式5 Char1"/>
    <w:basedOn w:val="26"/>
    <w:link w:val="61"/>
    <w:qFormat/>
    <w:uiPriority w:val="0"/>
    <w:rPr>
      <w:rFonts w:ascii="宋体" w:hAnsi="宋体" w:eastAsia="Times New Roman" w:cs="宋体"/>
    </w:rPr>
  </w:style>
  <w:style w:type="paragraph" w:customStyle="1" w:styleId="61">
    <w:name w:val="样式5"/>
    <w:basedOn w:val="1"/>
    <w:link w:val="60"/>
    <w:qFormat/>
    <w:uiPriority w:val="0"/>
    <w:pPr>
      <w:widowControl/>
      <w:jc w:val="left"/>
    </w:pPr>
    <w:rPr>
      <w:rFonts w:ascii="宋体" w:hAnsi="宋体" w:eastAsia="Times New Roman" w:cs="宋体"/>
      <w:sz w:val="21"/>
    </w:rPr>
  </w:style>
  <w:style w:type="character" w:customStyle="1" w:styleId="62">
    <w:name w:val="BS-WZ Char Char"/>
    <w:qFormat/>
    <w:uiPriority w:val="0"/>
    <w:rPr>
      <w:bCs/>
      <w:kern w:val="2"/>
      <w:sz w:val="24"/>
      <w:szCs w:val="24"/>
      <w:lang w:val="en-US" w:eastAsia="zh-CN" w:bidi="ar-SA"/>
    </w:rPr>
  </w:style>
  <w:style w:type="character" w:customStyle="1" w:styleId="63">
    <w:name w:val="DTX-BT Char Char"/>
    <w:basedOn w:val="26"/>
    <w:qFormat/>
    <w:uiPriority w:val="0"/>
    <w:rPr>
      <w:rFonts w:eastAsia="黑体"/>
      <w:b/>
      <w:kern w:val="2"/>
      <w:sz w:val="24"/>
      <w:szCs w:val="30"/>
    </w:rPr>
  </w:style>
  <w:style w:type="character" w:customStyle="1" w:styleId="64">
    <w:name w:val="DTX-BG Char Char"/>
    <w:qFormat/>
    <w:uiPriority w:val="0"/>
    <w:rPr>
      <w:kern w:val="2"/>
      <w:sz w:val="21"/>
      <w:szCs w:val="30"/>
    </w:rPr>
  </w:style>
  <w:style w:type="paragraph" w:customStyle="1" w:styleId="65">
    <w:name w:val="清原表格名"/>
    <w:basedOn w:val="1"/>
    <w:link w:val="66"/>
    <w:qFormat/>
    <w:uiPriority w:val="0"/>
    <w:pPr>
      <w:spacing w:line="440" w:lineRule="exact"/>
    </w:pPr>
    <w:rPr>
      <w:rFonts w:eastAsia="宋体" w:cs="Times New Roman"/>
      <w:b/>
      <w:color w:val="000000"/>
      <w:kern w:val="0"/>
      <w:sz w:val="21"/>
      <w:szCs w:val="24"/>
    </w:rPr>
  </w:style>
  <w:style w:type="character" w:customStyle="1" w:styleId="66">
    <w:name w:val="清原表格名 Char"/>
    <w:basedOn w:val="26"/>
    <w:link w:val="65"/>
    <w:qFormat/>
    <w:uiPriority w:val="0"/>
    <w:rPr>
      <w:rFonts w:ascii="Times New Roman" w:hAnsi="Times New Roman" w:eastAsia="宋体" w:cs="Times New Roman"/>
      <w:b/>
      <w:color w:val="000000"/>
      <w:kern w:val="0"/>
      <w:szCs w:val="24"/>
    </w:rPr>
  </w:style>
  <w:style w:type="paragraph" w:customStyle="1" w:styleId="67">
    <w:name w:val="BS-HBT"/>
    <w:qFormat/>
    <w:uiPriority w:val="0"/>
    <w:pPr>
      <w:widowControl w:val="0"/>
      <w:tabs>
        <w:tab w:val="center" w:pos="6615"/>
        <w:tab w:val="right" w:pos="13230"/>
      </w:tabs>
      <w:adjustRightInd w:val="0"/>
      <w:snapToGrid w:val="0"/>
      <w:spacing w:line="500" w:lineRule="exact"/>
      <w:ind w:left="100" w:leftChars="100"/>
      <w:jc w:val="both"/>
    </w:pPr>
    <w:rPr>
      <w:rFonts w:ascii="Times New Roman" w:hAnsi="Times New Roman" w:eastAsia="黑体" w:cs="Times New Roman"/>
      <w:b/>
      <w:kern w:val="2"/>
      <w:sz w:val="24"/>
      <w:szCs w:val="30"/>
      <w:lang w:val="en-US" w:eastAsia="zh-CN" w:bidi="ar-SA"/>
    </w:rPr>
  </w:style>
  <w:style w:type="paragraph" w:customStyle="1" w:styleId="68">
    <w:name w:val="BS-04"/>
    <w:qFormat/>
    <w:uiPriority w:val="0"/>
    <w:pPr>
      <w:keepNext/>
      <w:widowControl w:val="0"/>
      <w:spacing w:line="500" w:lineRule="exact"/>
      <w:jc w:val="both"/>
      <w:outlineLvl w:val="3"/>
    </w:pPr>
    <w:rPr>
      <w:rFonts w:ascii="Times New Roman" w:hAnsi="Times New Roman" w:eastAsia="宋体" w:cs="Times New Roman"/>
      <w:kern w:val="2"/>
      <w:sz w:val="24"/>
      <w:szCs w:val="28"/>
      <w:lang w:val="en-US" w:eastAsia="zh-CN" w:bidi="ar-SA"/>
    </w:rPr>
  </w:style>
  <w:style w:type="paragraph" w:customStyle="1" w:styleId="69">
    <w:name w:val="DTX-HBT"/>
    <w:basedOn w:val="48"/>
    <w:link w:val="70"/>
    <w:qFormat/>
    <w:uiPriority w:val="0"/>
    <w:pPr>
      <w:tabs>
        <w:tab w:val="center" w:pos="6663"/>
        <w:tab w:val="right" w:pos="13608"/>
        <w:tab w:val="clear" w:pos="4515"/>
        <w:tab w:val="clear" w:pos="9030"/>
      </w:tabs>
    </w:pPr>
    <w:rPr>
      <w:snapToGrid w:val="0"/>
      <w:kern w:val="0"/>
    </w:rPr>
  </w:style>
  <w:style w:type="character" w:customStyle="1" w:styleId="70">
    <w:name w:val="DTX-HBT Char"/>
    <w:basedOn w:val="49"/>
    <w:link w:val="69"/>
    <w:qFormat/>
    <w:uiPriority w:val="0"/>
    <w:rPr>
      <w:rFonts w:ascii="Times New Roman" w:hAnsi="Times New Roman" w:eastAsia="黑体" w:cs="Times New Roman"/>
      <w:snapToGrid w:val="0"/>
      <w:kern w:val="0"/>
      <w:sz w:val="24"/>
      <w:szCs w:val="30"/>
    </w:rPr>
  </w:style>
  <w:style w:type="paragraph" w:customStyle="1" w:styleId="71">
    <w:name w:val="清原表格内容"/>
    <w:basedOn w:val="1"/>
    <w:link w:val="72"/>
    <w:qFormat/>
    <w:uiPriority w:val="0"/>
    <w:pPr>
      <w:widowControl/>
      <w:spacing w:line="240" w:lineRule="exact"/>
      <w:ind w:left="-94" w:leftChars="-45" w:right="-63" w:rightChars="-30"/>
      <w:jc w:val="center"/>
    </w:pPr>
    <w:rPr>
      <w:rFonts w:hAnsi="宋体" w:eastAsia="宋体" w:cs="Times New Roman"/>
      <w:kern w:val="0"/>
      <w:sz w:val="21"/>
      <w:szCs w:val="21"/>
    </w:rPr>
  </w:style>
  <w:style w:type="character" w:customStyle="1" w:styleId="72">
    <w:name w:val="清原表格内容 Char"/>
    <w:basedOn w:val="26"/>
    <w:link w:val="71"/>
    <w:qFormat/>
    <w:uiPriority w:val="0"/>
    <w:rPr>
      <w:rFonts w:ascii="Times New Roman" w:hAnsi="宋体" w:eastAsia="宋体" w:cs="Times New Roman"/>
      <w:kern w:val="0"/>
      <w:szCs w:val="21"/>
    </w:rPr>
  </w:style>
  <w:style w:type="paragraph" w:customStyle="1" w:styleId="73">
    <w:name w:val="BS-T"/>
    <w:qFormat/>
    <w:uiPriority w:val="0"/>
    <w:pPr>
      <w:widowControl w:val="0"/>
      <w:adjustRightInd w:val="0"/>
      <w:snapToGrid w:val="0"/>
      <w:jc w:val="center"/>
    </w:pPr>
    <w:rPr>
      <w:rFonts w:ascii="Times New Roman" w:hAnsi="Times New Roman" w:eastAsia="黑体" w:cs="Times New Roman"/>
      <w:kern w:val="0"/>
      <w:sz w:val="18"/>
      <w:szCs w:val="20"/>
      <w:lang w:val="en-US" w:eastAsia="zh-CN" w:bidi="ar-SA"/>
    </w:rPr>
  </w:style>
  <w:style w:type="paragraph" w:customStyle="1" w:styleId="74">
    <w:name w:val="DTX-TM"/>
    <w:basedOn w:val="1"/>
    <w:qFormat/>
    <w:uiPriority w:val="0"/>
    <w:pPr>
      <w:spacing w:line="500" w:lineRule="exact"/>
      <w:jc w:val="center"/>
    </w:pPr>
    <w:rPr>
      <w:rFonts w:hAnsi="黑体" w:eastAsia="黑体" w:cs="Times New Roman"/>
      <w:b/>
      <w:szCs w:val="24"/>
    </w:rPr>
  </w:style>
  <w:style w:type="paragraph" w:customStyle="1" w:styleId="75">
    <w:name w:val="BS-TZ"/>
    <w:qFormat/>
    <w:uiPriority w:val="0"/>
    <w:pPr>
      <w:adjustRightInd w:val="0"/>
      <w:snapToGrid w:val="0"/>
      <w:spacing w:line="500" w:lineRule="exact"/>
      <w:jc w:val="center"/>
    </w:pPr>
    <w:rPr>
      <w:rFonts w:ascii="Times New Roman" w:hAnsi="Times New Roman" w:eastAsia="黑体" w:cs="Times New Roman"/>
      <w:b/>
      <w:kern w:val="0"/>
      <w:sz w:val="24"/>
      <w:szCs w:val="32"/>
      <w:lang w:val="en-US" w:eastAsia="zh-CN" w:bidi="ar-SA"/>
    </w:rPr>
  </w:style>
  <w:style w:type="paragraph" w:customStyle="1" w:styleId="76">
    <w:name w:val="DTX-T"/>
    <w:qFormat/>
    <w:uiPriority w:val="0"/>
    <w:pPr>
      <w:widowControl w:val="0"/>
      <w:adjustRightInd w:val="0"/>
      <w:jc w:val="center"/>
    </w:pPr>
    <w:rPr>
      <w:rFonts w:ascii="Times New Roman" w:hAnsi="Times New Roman" w:eastAsia="宋体" w:cs="Times New Roman"/>
      <w:kern w:val="2"/>
      <w:sz w:val="24"/>
      <w:szCs w:val="24"/>
      <w:lang w:val="en-US" w:eastAsia="zh-CN" w:bidi="ar-SA"/>
    </w:rPr>
  </w:style>
  <w:style w:type="character" w:customStyle="1" w:styleId="77">
    <w:name w:val="BS-03 Char"/>
    <w:link w:val="78"/>
    <w:qFormat/>
    <w:uiPriority w:val="0"/>
    <w:rPr>
      <w:rFonts w:ascii="Times New Roman" w:hAnsi="Times New Roman" w:eastAsia="黑体" w:cs="Times New Roman"/>
      <w:b/>
      <w:sz w:val="24"/>
      <w:szCs w:val="28"/>
    </w:rPr>
  </w:style>
  <w:style w:type="paragraph" w:customStyle="1" w:styleId="78">
    <w:name w:val="BS-03"/>
    <w:link w:val="77"/>
    <w:qFormat/>
    <w:uiPriority w:val="0"/>
    <w:pPr>
      <w:keepNext/>
      <w:keepLines/>
      <w:widowControl w:val="0"/>
      <w:adjustRightInd w:val="0"/>
      <w:snapToGrid w:val="0"/>
      <w:spacing w:line="500" w:lineRule="exact"/>
      <w:jc w:val="both"/>
      <w:outlineLvl w:val="2"/>
    </w:pPr>
    <w:rPr>
      <w:rFonts w:ascii="Times New Roman" w:hAnsi="Times New Roman" w:eastAsia="黑体" w:cs="Times New Roman"/>
      <w:b/>
      <w:kern w:val="2"/>
      <w:sz w:val="24"/>
      <w:szCs w:val="28"/>
      <w:lang w:val="en-US" w:eastAsia="zh-CN" w:bidi="ar-SA"/>
    </w:rPr>
  </w:style>
  <w:style w:type="paragraph" w:customStyle="1" w:styleId="79">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80">
    <w:name w:val="font6"/>
    <w:basedOn w:val="1"/>
    <w:qFormat/>
    <w:uiPriority w:val="0"/>
    <w:pPr>
      <w:widowControl/>
      <w:spacing w:before="100" w:beforeAutospacing="1" w:after="100" w:afterAutospacing="1"/>
      <w:jc w:val="left"/>
    </w:pPr>
    <w:rPr>
      <w:rFonts w:ascii="宋体" w:hAnsi="宋体" w:eastAsia="宋体" w:cs="宋体"/>
      <w:kern w:val="0"/>
      <w:szCs w:val="24"/>
    </w:rPr>
  </w:style>
  <w:style w:type="paragraph" w:customStyle="1" w:styleId="81">
    <w:name w:val="font7"/>
    <w:basedOn w:val="1"/>
    <w:qFormat/>
    <w:uiPriority w:val="0"/>
    <w:pPr>
      <w:widowControl/>
      <w:spacing w:before="100" w:beforeAutospacing="1" w:after="100" w:afterAutospacing="1"/>
      <w:jc w:val="left"/>
    </w:pPr>
    <w:rPr>
      <w:rFonts w:ascii="宋体" w:hAnsi="宋体" w:eastAsia="宋体" w:cs="宋体"/>
      <w:color w:val="000000"/>
      <w:kern w:val="0"/>
      <w:szCs w:val="24"/>
    </w:rPr>
  </w:style>
  <w:style w:type="paragraph" w:customStyle="1" w:styleId="82">
    <w:name w:val="xl85"/>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3">
    <w:name w:val="xl86"/>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4">
    <w:name w:val="xl87"/>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Cs w:val="24"/>
    </w:rPr>
  </w:style>
  <w:style w:type="paragraph" w:customStyle="1" w:styleId="85">
    <w:name w:val="xl88"/>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86">
    <w:name w:val="xl89"/>
    <w:basedOn w:val="1"/>
    <w:qFormat/>
    <w:uiPriority w:val="0"/>
    <w:pPr>
      <w:widowControl/>
      <w:spacing w:before="100" w:beforeAutospacing="1" w:after="100" w:afterAutospacing="1"/>
      <w:jc w:val="left"/>
      <w:textAlignment w:val="center"/>
    </w:pPr>
    <w:rPr>
      <w:rFonts w:ascii="宋体" w:hAnsi="宋体" w:eastAsia="宋体" w:cs="宋体"/>
      <w:kern w:val="0"/>
      <w:szCs w:val="24"/>
    </w:rPr>
  </w:style>
  <w:style w:type="paragraph" w:customStyle="1" w:styleId="87">
    <w:name w:val="xl90"/>
    <w:basedOn w:val="1"/>
    <w:qFormat/>
    <w:uiPriority w:val="0"/>
    <w:pPr>
      <w:widowControl/>
      <w:spacing w:before="100" w:beforeAutospacing="1" w:after="100" w:afterAutospacing="1"/>
      <w:jc w:val="center"/>
      <w:textAlignment w:val="center"/>
    </w:pPr>
    <w:rPr>
      <w:rFonts w:ascii="宋体" w:hAnsi="宋体" w:eastAsia="宋体" w:cs="宋体"/>
      <w:kern w:val="0"/>
      <w:szCs w:val="24"/>
    </w:rPr>
  </w:style>
  <w:style w:type="paragraph" w:customStyle="1" w:styleId="88">
    <w:name w:val="xl9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89">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90">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1">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93">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94">
    <w:name w:val="xl97"/>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95">
    <w:name w:val="xl9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96">
    <w:name w:val="xl9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97">
    <w:name w:val="xl10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98">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99">
    <w:name w:val="xl102"/>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0">
    <w:name w:val="xl10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1">
    <w:name w:val="xl104"/>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2">
    <w:name w:val="xl105"/>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103">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Cs w:val="24"/>
    </w:rPr>
  </w:style>
  <w:style w:type="paragraph" w:customStyle="1" w:styleId="104">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05">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06">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107">
    <w:name w:val="xl110"/>
    <w:basedOn w:val="1"/>
    <w:qFormat/>
    <w:uiPriority w:val="0"/>
    <w:pPr>
      <w:widowControl/>
      <w:spacing w:before="100" w:beforeAutospacing="1" w:after="100" w:afterAutospacing="1"/>
      <w:jc w:val="left"/>
    </w:pPr>
    <w:rPr>
      <w:rFonts w:ascii="宋体" w:hAnsi="宋体" w:eastAsia="宋体" w:cs="宋体"/>
      <w:b/>
      <w:bCs/>
      <w:kern w:val="0"/>
      <w:szCs w:val="24"/>
    </w:rPr>
  </w:style>
  <w:style w:type="paragraph" w:customStyle="1" w:styleId="108">
    <w:name w:val="xl11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09">
    <w:name w:val="xl112"/>
    <w:basedOn w:val="1"/>
    <w:qFormat/>
    <w:uiPriority w:val="0"/>
    <w:pPr>
      <w:widowControl/>
      <w:spacing w:before="100" w:beforeAutospacing="1" w:after="100" w:afterAutospacing="1"/>
      <w:jc w:val="left"/>
    </w:pPr>
    <w:rPr>
      <w:rFonts w:ascii="宋体" w:hAnsi="宋体" w:eastAsia="宋体" w:cs="宋体"/>
      <w:b/>
      <w:bCs/>
      <w:color w:val="000000"/>
      <w:kern w:val="0"/>
      <w:szCs w:val="24"/>
    </w:rPr>
  </w:style>
  <w:style w:type="paragraph" w:customStyle="1" w:styleId="110">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1">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12">
    <w:name w:val="xl11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13">
    <w:name w:val="xl116"/>
    <w:basedOn w:val="1"/>
    <w:qFormat/>
    <w:uiPriority w:val="0"/>
    <w:pPr>
      <w:widowControl/>
      <w:pBdr>
        <w:top w:val="single" w:color="auto" w:sz="4" w:space="0"/>
        <w:left w:val="single" w:color="auto" w:sz="8"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14">
    <w:name w:val="xl117"/>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5">
    <w:name w:val="xl11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16">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7">
    <w:name w:val="xl12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18">
    <w:name w:val="xl121"/>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color w:val="000000"/>
      <w:kern w:val="0"/>
      <w:szCs w:val="24"/>
    </w:rPr>
  </w:style>
  <w:style w:type="paragraph" w:customStyle="1" w:styleId="119">
    <w:name w:val="xl12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eastAsia="宋体" w:cs="宋体"/>
      <w:color w:val="000000"/>
      <w:kern w:val="0"/>
      <w:szCs w:val="24"/>
    </w:rPr>
  </w:style>
  <w:style w:type="paragraph" w:customStyle="1" w:styleId="120">
    <w:name w:val="xl123"/>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eastAsia="宋体" w:cs="宋体"/>
      <w:b/>
      <w:bCs/>
      <w:kern w:val="0"/>
      <w:szCs w:val="24"/>
    </w:rPr>
  </w:style>
  <w:style w:type="paragraph" w:customStyle="1" w:styleId="121">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Cs w:val="24"/>
    </w:rPr>
  </w:style>
  <w:style w:type="paragraph" w:customStyle="1" w:styleId="122">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Cs w:val="24"/>
    </w:rPr>
  </w:style>
  <w:style w:type="paragraph" w:customStyle="1" w:styleId="123">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124">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5">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b/>
      <w:bCs/>
      <w:kern w:val="0"/>
      <w:szCs w:val="24"/>
    </w:rPr>
  </w:style>
  <w:style w:type="paragraph" w:customStyle="1" w:styleId="126">
    <w:name w:val="xl129"/>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7">
    <w:name w:val="xl13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kern w:val="0"/>
      <w:szCs w:val="24"/>
    </w:rPr>
  </w:style>
  <w:style w:type="paragraph" w:customStyle="1" w:styleId="128">
    <w:name w:val="xl131"/>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kern w:val="0"/>
      <w:szCs w:val="24"/>
    </w:rPr>
  </w:style>
  <w:style w:type="paragraph" w:customStyle="1" w:styleId="129">
    <w:name w:val="xl132"/>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30">
    <w:name w:val="xl133"/>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cs="宋体"/>
      <w:kern w:val="0"/>
      <w:szCs w:val="24"/>
    </w:rPr>
  </w:style>
  <w:style w:type="paragraph" w:customStyle="1" w:styleId="131">
    <w:name w:val="xl134"/>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eastAsia="宋体" w:cs="宋体"/>
      <w:kern w:val="0"/>
      <w:szCs w:val="24"/>
    </w:rPr>
  </w:style>
  <w:style w:type="paragraph" w:customStyle="1" w:styleId="132">
    <w:name w:val="xl135"/>
    <w:basedOn w:val="1"/>
    <w:qFormat/>
    <w:uiPriority w:val="0"/>
    <w:pPr>
      <w:widowControl/>
      <w:spacing w:before="100" w:beforeAutospacing="1" w:after="100" w:afterAutospacing="1"/>
      <w:jc w:val="right"/>
      <w:textAlignment w:val="center"/>
    </w:pPr>
    <w:rPr>
      <w:rFonts w:ascii="宋体" w:hAnsi="宋体" w:eastAsia="宋体" w:cs="宋体"/>
      <w:kern w:val="0"/>
      <w:szCs w:val="24"/>
    </w:rPr>
  </w:style>
  <w:style w:type="paragraph" w:customStyle="1" w:styleId="133">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4">
    <w:name w:val="xl137"/>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5">
    <w:name w:val="xl138"/>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6">
    <w:name w:val="xl1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37">
    <w:name w:val="xl140"/>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38">
    <w:name w:val="xl141"/>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39">
    <w:name w:val="xl14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pPr>
    <w:rPr>
      <w:rFonts w:ascii="宋体" w:hAnsi="宋体" w:eastAsia="宋体" w:cs="宋体"/>
      <w:kern w:val="0"/>
      <w:szCs w:val="24"/>
    </w:rPr>
  </w:style>
  <w:style w:type="paragraph" w:customStyle="1" w:styleId="140">
    <w:name w:val="xl14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41">
    <w:name w:val="xl144"/>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right"/>
      <w:textAlignment w:val="center"/>
    </w:pPr>
    <w:rPr>
      <w:rFonts w:ascii="宋体" w:hAnsi="宋体" w:eastAsia="宋体" w:cs="宋体"/>
      <w:kern w:val="0"/>
      <w:szCs w:val="24"/>
    </w:rPr>
  </w:style>
  <w:style w:type="paragraph" w:customStyle="1" w:styleId="142">
    <w:name w:val="xl145"/>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right"/>
      <w:textAlignment w:val="center"/>
    </w:pPr>
    <w:rPr>
      <w:rFonts w:ascii="宋体" w:hAnsi="宋体" w:eastAsia="宋体" w:cs="宋体"/>
      <w:b/>
      <w:bCs/>
      <w:kern w:val="0"/>
      <w:szCs w:val="24"/>
    </w:rPr>
  </w:style>
  <w:style w:type="paragraph" w:customStyle="1" w:styleId="143">
    <w:name w:val="xl146"/>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right"/>
    </w:pPr>
    <w:rPr>
      <w:rFonts w:ascii="宋体" w:hAnsi="宋体" w:eastAsia="宋体" w:cs="宋体"/>
      <w:kern w:val="0"/>
      <w:szCs w:val="24"/>
    </w:rPr>
  </w:style>
  <w:style w:type="paragraph" w:customStyle="1" w:styleId="144">
    <w:name w:val="xl1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45">
    <w:name w:val="xl14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6">
    <w:name w:val="xl14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7">
    <w:name w:val="xl1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Cs w:val="24"/>
    </w:rPr>
  </w:style>
  <w:style w:type="paragraph" w:customStyle="1" w:styleId="148">
    <w:name w:val="xl151"/>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Cs w:val="24"/>
    </w:rPr>
  </w:style>
  <w:style w:type="paragraph" w:customStyle="1" w:styleId="149">
    <w:name w:val="xl1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Cs w:val="24"/>
    </w:rPr>
  </w:style>
  <w:style w:type="paragraph" w:customStyle="1" w:styleId="150">
    <w:name w:val="xl153"/>
    <w:basedOn w:val="1"/>
    <w:qFormat/>
    <w:uiPriority w:val="0"/>
    <w:pPr>
      <w:widowControl/>
      <w:spacing w:before="100" w:beforeAutospacing="1" w:after="100" w:afterAutospacing="1"/>
      <w:jc w:val="center"/>
      <w:textAlignment w:val="center"/>
    </w:pPr>
    <w:rPr>
      <w:rFonts w:ascii="宋体" w:hAnsi="宋体" w:eastAsia="宋体" w:cs="宋体"/>
      <w:b/>
      <w:bCs/>
      <w:kern w:val="0"/>
      <w:sz w:val="32"/>
      <w:szCs w:val="32"/>
    </w:rPr>
  </w:style>
  <w:style w:type="character" w:customStyle="1" w:styleId="151">
    <w:name w:val="0JH-正文 Char"/>
    <w:link w:val="152"/>
    <w:qFormat/>
    <w:uiPriority w:val="0"/>
    <w:rPr>
      <w:sz w:val="24"/>
      <w:szCs w:val="24"/>
    </w:rPr>
  </w:style>
  <w:style w:type="paragraph" w:customStyle="1" w:styleId="152">
    <w:name w:val="0JH-正文"/>
    <w:link w:val="151"/>
    <w:qFormat/>
    <w:uiPriority w:val="0"/>
    <w:pPr>
      <w:widowControl w:val="0"/>
      <w:adjustRightInd w:val="0"/>
      <w:snapToGrid w:val="0"/>
      <w:spacing w:line="500" w:lineRule="exact"/>
      <w:ind w:firstLine="200" w:firstLineChars="200"/>
      <w:jc w:val="both"/>
    </w:pPr>
    <w:rPr>
      <w:rFonts w:asciiTheme="minorHAnsi" w:hAnsiTheme="minorHAnsi" w:eastAsiaTheme="minorEastAsia" w:cstheme="minorBidi"/>
      <w:kern w:val="2"/>
      <w:sz w:val="24"/>
      <w:szCs w:val="24"/>
      <w:lang w:val="en-US" w:eastAsia="zh-CN" w:bidi="ar-SA"/>
    </w:rPr>
  </w:style>
  <w:style w:type="paragraph" w:customStyle="1" w:styleId="153">
    <w:name w:val="LL-ZW"/>
    <w:basedOn w:val="1"/>
    <w:link w:val="154"/>
    <w:qFormat/>
    <w:uiPriority w:val="0"/>
    <w:pPr>
      <w:adjustRightInd w:val="0"/>
      <w:snapToGrid w:val="0"/>
      <w:spacing w:line="500" w:lineRule="exact"/>
      <w:ind w:firstLine="200" w:firstLineChars="200"/>
    </w:pPr>
    <w:rPr>
      <w:rFonts w:eastAsia="宋体" w:cs="Times New Roman"/>
      <w:szCs w:val="24"/>
    </w:rPr>
  </w:style>
  <w:style w:type="character" w:customStyle="1" w:styleId="154">
    <w:name w:val="LL-ZW Char"/>
    <w:basedOn w:val="26"/>
    <w:link w:val="153"/>
    <w:qFormat/>
    <w:uiPriority w:val="0"/>
    <w:rPr>
      <w:rFonts w:ascii="Times New Roman" w:hAnsi="Times New Roman" w:eastAsia="宋体" w:cs="Times New Roman"/>
      <w:sz w:val="24"/>
      <w:szCs w:val="24"/>
    </w:rPr>
  </w:style>
  <w:style w:type="paragraph" w:customStyle="1" w:styleId="155">
    <w:name w:val="表头"/>
    <w:basedOn w:val="1"/>
    <w:link w:val="156"/>
    <w:qFormat/>
    <w:uiPriority w:val="0"/>
    <w:pPr>
      <w:tabs>
        <w:tab w:val="center" w:pos="4440"/>
        <w:tab w:val="right" w:pos="8880"/>
      </w:tabs>
      <w:adjustRightInd w:val="0"/>
      <w:snapToGrid w:val="0"/>
      <w:spacing w:line="500" w:lineRule="exact"/>
    </w:pPr>
    <w:rPr>
      <w:rFonts w:eastAsia="黑体" w:cs="Times New Roman"/>
      <w:b/>
      <w:szCs w:val="24"/>
    </w:rPr>
  </w:style>
  <w:style w:type="character" w:customStyle="1" w:styleId="156">
    <w:name w:val="表头 Char"/>
    <w:basedOn w:val="26"/>
    <w:link w:val="155"/>
    <w:qFormat/>
    <w:uiPriority w:val="0"/>
    <w:rPr>
      <w:rFonts w:ascii="Times New Roman" w:hAnsi="Times New Roman" w:eastAsia="黑体" w:cs="Times New Roman"/>
      <w:b/>
      <w:sz w:val="24"/>
      <w:szCs w:val="24"/>
    </w:rPr>
  </w:style>
  <w:style w:type="paragraph" w:customStyle="1" w:styleId="157">
    <w:name w:val="表格20"/>
    <w:basedOn w:val="1"/>
    <w:link w:val="158"/>
    <w:qFormat/>
    <w:uiPriority w:val="0"/>
    <w:pPr>
      <w:adjustRightInd w:val="0"/>
      <w:snapToGrid w:val="0"/>
      <w:spacing w:line="400" w:lineRule="exact"/>
      <w:jc w:val="center"/>
    </w:pPr>
    <w:rPr>
      <w:rFonts w:eastAsia="宋体" w:cs="Times New Roman"/>
      <w:sz w:val="21"/>
      <w:szCs w:val="24"/>
    </w:rPr>
  </w:style>
  <w:style w:type="character" w:customStyle="1" w:styleId="158">
    <w:name w:val="表格20 Char"/>
    <w:basedOn w:val="26"/>
    <w:link w:val="157"/>
    <w:qFormat/>
    <w:uiPriority w:val="0"/>
    <w:rPr>
      <w:rFonts w:ascii="Times New Roman" w:hAnsi="Times New Roman" w:eastAsia="宋体" w:cs="Times New Roman"/>
      <w:szCs w:val="24"/>
    </w:rPr>
  </w:style>
  <w:style w:type="character" w:styleId="159">
    <w:name w:val="Placeholder Text"/>
    <w:basedOn w:val="26"/>
    <w:semiHidden/>
    <w:qFormat/>
    <w:uiPriority w:val="99"/>
    <w:rPr>
      <w:color w:val="808080"/>
    </w:rPr>
  </w:style>
  <w:style w:type="character" w:customStyle="1" w:styleId="160">
    <w:name w:val="PT-WZ Char"/>
    <w:link w:val="161"/>
    <w:qFormat/>
    <w:uiPriority w:val="0"/>
    <w:rPr>
      <w:sz w:val="24"/>
      <w:szCs w:val="30"/>
    </w:rPr>
  </w:style>
  <w:style w:type="paragraph" w:customStyle="1" w:styleId="161">
    <w:name w:val="PT-WZ"/>
    <w:link w:val="160"/>
    <w:qFormat/>
    <w:uiPriority w:val="0"/>
    <w:pPr>
      <w:widowControl w:val="0"/>
      <w:adjustRightInd w:val="0"/>
      <w:snapToGrid w:val="0"/>
      <w:spacing w:line="500" w:lineRule="exact"/>
      <w:ind w:firstLine="200" w:firstLineChars="200"/>
      <w:jc w:val="both"/>
    </w:pPr>
    <w:rPr>
      <w:rFonts w:asciiTheme="minorHAnsi" w:hAnsiTheme="minorHAnsi" w:eastAsiaTheme="minorEastAsia" w:cstheme="minorBidi"/>
      <w:kern w:val="2"/>
      <w:sz w:val="24"/>
      <w:szCs w:val="30"/>
      <w:lang w:val="en-US" w:eastAsia="zh-CN" w:bidi="ar-SA"/>
    </w:rPr>
  </w:style>
  <w:style w:type="paragraph" w:customStyle="1" w:styleId="162">
    <w:name w:val="清原正文"/>
    <w:basedOn w:val="1"/>
    <w:link w:val="163"/>
    <w:qFormat/>
    <w:uiPriority w:val="0"/>
    <w:pPr>
      <w:adjustRightInd w:val="0"/>
      <w:snapToGrid w:val="0"/>
      <w:spacing w:line="500" w:lineRule="exact"/>
      <w:ind w:firstLine="200" w:firstLineChars="200"/>
    </w:pPr>
    <w:rPr>
      <w:rFonts w:eastAsia="宋体" w:cs="Times New Roman"/>
      <w:szCs w:val="24"/>
    </w:rPr>
  </w:style>
  <w:style w:type="character" w:customStyle="1" w:styleId="163">
    <w:name w:val="啦啦啦啦啦 Char"/>
    <w:link w:val="162"/>
    <w:qFormat/>
    <w:uiPriority w:val="0"/>
    <w:rPr>
      <w:rFonts w:ascii="Times New Roman" w:hAnsi="Times New Roman" w:eastAsia="宋体" w:cs="Times New Roman"/>
      <w:sz w:val="24"/>
      <w:szCs w:val="24"/>
    </w:rPr>
  </w:style>
  <w:style w:type="paragraph" w:customStyle="1" w:styleId="164">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5">
    <w:name w:val="font9"/>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6">
    <w:name w:val="font10"/>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167">
    <w:name w:val="xl1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68">
    <w:name w:val="xl1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宋体" w:cs="Times New Roman"/>
      <w:kern w:val="0"/>
      <w:sz w:val="22"/>
    </w:rPr>
  </w:style>
  <w:style w:type="paragraph" w:customStyle="1" w:styleId="169">
    <w:name w:val="xl1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0">
    <w:name w:val="xl15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1">
    <w:name w:val="xl1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72">
    <w:name w:val="xl159"/>
    <w:basedOn w:val="1"/>
    <w:qFormat/>
    <w:uiPriority w:val="0"/>
    <w:pPr>
      <w:widowControl/>
      <w:pBdr>
        <w:left w:val="single" w:color="auto" w:sz="8"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3">
    <w:name w:val="xl160"/>
    <w:basedOn w:val="1"/>
    <w:qFormat/>
    <w:uiPriority w:val="0"/>
    <w:pPr>
      <w:widowControl/>
      <w:pBdr>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74">
    <w:name w:val="xl161"/>
    <w:basedOn w:val="1"/>
    <w:qFormat/>
    <w:uiPriority w:val="0"/>
    <w:pPr>
      <w:widowControl/>
      <w:pBdr>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5">
    <w:name w:val="xl162"/>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76">
    <w:name w:val="xl163"/>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77">
    <w:name w:val="xl164"/>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78">
    <w:name w:val="xl165"/>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79">
    <w:name w:val="xl166"/>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0">
    <w:name w:val="xl16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1">
    <w:name w:val="xl1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2">
    <w:name w:val="xl1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3">
    <w:name w:val="xl17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4">
    <w:name w:val="xl1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85">
    <w:name w:val="xl17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textAlignment w:val="center"/>
    </w:pPr>
    <w:rPr>
      <w:rFonts w:ascii="宋体" w:hAnsi="宋体" w:eastAsia="宋体" w:cs="宋体"/>
      <w:kern w:val="0"/>
      <w:sz w:val="22"/>
    </w:rPr>
  </w:style>
  <w:style w:type="paragraph" w:customStyle="1" w:styleId="186">
    <w:name w:val="xl1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87">
    <w:name w:val="xl1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2"/>
    </w:rPr>
  </w:style>
  <w:style w:type="paragraph" w:customStyle="1" w:styleId="188">
    <w:name w:val="xl1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22"/>
    </w:rPr>
  </w:style>
  <w:style w:type="paragraph" w:customStyle="1" w:styleId="189">
    <w:name w:val="xl1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0">
    <w:name w:val="xl1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b/>
      <w:bCs/>
      <w:kern w:val="0"/>
      <w:sz w:val="22"/>
    </w:rPr>
  </w:style>
  <w:style w:type="paragraph" w:customStyle="1" w:styleId="191">
    <w:name w:val="xl17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eastAsia="宋体" w:cs="宋体"/>
      <w:kern w:val="0"/>
      <w:sz w:val="22"/>
    </w:rPr>
  </w:style>
  <w:style w:type="paragraph" w:customStyle="1" w:styleId="192">
    <w:name w:val="xl17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3">
    <w:name w:val="xl18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eastAsia="宋体" w:cs="宋体"/>
      <w:kern w:val="0"/>
      <w:sz w:val="22"/>
    </w:rPr>
  </w:style>
  <w:style w:type="paragraph" w:customStyle="1" w:styleId="194">
    <w:name w:val="xl181"/>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textAlignment w:val="center"/>
    </w:pPr>
    <w:rPr>
      <w:rFonts w:ascii="宋体" w:hAnsi="宋体" w:eastAsia="宋体" w:cs="宋体"/>
      <w:kern w:val="0"/>
      <w:sz w:val="22"/>
    </w:rPr>
  </w:style>
  <w:style w:type="character" w:customStyle="1" w:styleId="195">
    <w:name w:val="SB-ZW Char"/>
    <w:qFormat/>
    <w:uiPriority w:val="0"/>
    <w:rPr>
      <w:sz w:val="24"/>
      <w:szCs w:val="24"/>
    </w:rPr>
  </w:style>
  <w:style w:type="paragraph" w:customStyle="1" w:styleId="196">
    <w:name w:val="g刷正文"/>
    <w:basedOn w:val="1"/>
    <w:qFormat/>
    <w:uiPriority w:val="0"/>
    <w:pPr>
      <w:spacing w:line="480" w:lineRule="exact"/>
      <w:ind w:firstLine="200" w:firstLineChars="200"/>
    </w:pPr>
    <w:rPr>
      <w:rFonts w:eastAsia="仿宋_GB2312"/>
      <w:sz w:val="28"/>
      <w:szCs w:val="28"/>
    </w:rPr>
  </w:style>
  <w:style w:type="paragraph" w:customStyle="1" w:styleId="197">
    <w:name w:val="_ 正文格式"/>
    <w:basedOn w:val="1"/>
    <w:qFormat/>
    <w:uiPriority w:val="0"/>
    <w:pPr>
      <w:spacing w:line="480" w:lineRule="exact"/>
      <w:ind w:firstLine="200" w:firstLineChars="200"/>
    </w:pPr>
    <w:rPr>
      <w:rFonts w:eastAsia="仿宋_GB2312"/>
      <w:sz w:val="28"/>
    </w:rPr>
  </w:style>
  <w:style w:type="character" w:customStyle="1" w:styleId="198">
    <w:name w:val="font01"/>
    <w:basedOn w:val="26"/>
    <w:qFormat/>
    <w:uiPriority w:val="0"/>
    <w:rPr>
      <w:rFonts w:hint="default" w:ascii="仿宋_GB2312" w:eastAsia="仿宋_GB2312" w:cs="仿宋_GB2312"/>
      <w:b/>
      <w:color w:val="000000"/>
      <w:sz w:val="21"/>
      <w:szCs w:val="21"/>
      <w:u w:val="none"/>
    </w:rPr>
  </w:style>
  <w:style w:type="character" w:customStyle="1" w:styleId="199">
    <w:name w:val="font101"/>
    <w:basedOn w:val="26"/>
    <w:qFormat/>
    <w:uiPriority w:val="0"/>
    <w:rPr>
      <w:rFonts w:hint="default" w:ascii="Times New Roman" w:hAnsi="Times New Roman" w:cs="Times New Roman"/>
      <w:color w:val="000000"/>
      <w:sz w:val="21"/>
      <w:szCs w:val="21"/>
      <w:u w:val="none"/>
    </w:rPr>
  </w:style>
  <w:style w:type="character" w:customStyle="1" w:styleId="200">
    <w:name w:val="font51"/>
    <w:basedOn w:val="26"/>
    <w:qFormat/>
    <w:uiPriority w:val="0"/>
    <w:rPr>
      <w:rFonts w:hint="default" w:ascii="仿宋_GB2312" w:eastAsia="仿宋_GB2312" w:cs="仿宋_GB2312"/>
      <w:color w:val="000000"/>
      <w:sz w:val="21"/>
      <w:szCs w:val="21"/>
      <w:u w:val="none"/>
    </w:rPr>
  </w:style>
  <w:style w:type="character" w:customStyle="1" w:styleId="201">
    <w:name w:val="font111"/>
    <w:basedOn w:val="26"/>
    <w:qFormat/>
    <w:uiPriority w:val="0"/>
    <w:rPr>
      <w:rFonts w:hint="default" w:ascii="仿宋_GB2312" w:eastAsia="仿宋_GB2312" w:cs="仿宋_GB2312"/>
      <w:b/>
      <w:color w:val="000000"/>
      <w:sz w:val="21"/>
      <w:szCs w:val="21"/>
      <w:u w:val="none"/>
    </w:rPr>
  </w:style>
  <w:style w:type="character" w:customStyle="1" w:styleId="202">
    <w:name w:val="font121"/>
    <w:basedOn w:val="26"/>
    <w:qFormat/>
    <w:uiPriority w:val="0"/>
    <w:rPr>
      <w:rFonts w:hint="default" w:ascii="仿宋_GB2312" w:eastAsia="仿宋_GB2312" w:cs="仿宋_GB2312"/>
      <w:b/>
      <w:color w:val="000000"/>
      <w:sz w:val="21"/>
      <w:szCs w:val="21"/>
      <w:u w:val="none"/>
    </w:rPr>
  </w:style>
  <w:style w:type="character" w:customStyle="1" w:styleId="203">
    <w:name w:val="font161"/>
    <w:basedOn w:val="26"/>
    <w:qFormat/>
    <w:uiPriority w:val="0"/>
    <w:rPr>
      <w:rFonts w:hint="default" w:ascii="Times New Roman" w:hAnsi="Times New Roman" w:cs="Times New Roman"/>
      <w:color w:val="000000"/>
      <w:sz w:val="21"/>
      <w:szCs w:val="21"/>
      <w:u w:val="none"/>
    </w:rPr>
  </w:style>
  <w:style w:type="paragraph" w:customStyle="1" w:styleId="204">
    <w:name w:val="Table Paragraph"/>
    <w:basedOn w:val="1"/>
    <w:qFormat/>
    <w:uiPriority w:val="1"/>
    <w:pPr>
      <w:jc w:val="center"/>
    </w:pPr>
    <w:rPr>
      <w:rFonts w:ascii="仿宋_GB2312" w:hAnsi="仿宋_GB2312" w:eastAsia="仿宋_GB2312" w:cs="仿宋_GB2312"/>
      <w:lang w:val="zh-CN" w:eastAsia="zh-CN" w:bidi="zh-CN"/>
    </w:rPr>
  </w:style>
  <w:style w:type="character" w:customStyle="1" w:styleId="205">
    <w:name w:val="font61"/>
    <w:basedOn w:val="26"/>
    <w:qFormat/>
    <w:uiPriority w:val="0"/>
    <w:rPr>
      <w:rFonts w:hint="default" w:ascii="仿宋_GB2312" w:eastAsia="仿宋_GB2312" w:cs="仿宋_GB2312"/>
      <w:color w:val="000000"/>
      <w:sz w:val="21"/>
      <w:szCs w:val="21"/>
      <w:u w:val="none"/>
    </w:rPr>
  </w:style>
  <w:style w:type="paragraph" w:customStyle="1" w:styleId="206">
    <w:name w:val="_正文格式"/>
    <w:basedOn w:val="1"/>
    <w:qFormat/>
    <w:uiPriority w:val="0"/>
    <w:pPr>
      <w:spacing w:line="560" w:lineRule="exact"/>
      <w:ind w:firstLine="567"/>
    </w:pPr>
    <w:rPr>
      <w:rFonts w:ascii="仿宋_GB2312" w:eastAsia="仿宋_GB2312"/>
      <w:sz w:val="28"/>
    </w:rPr>
  </w:style>
  <w:style w:type="paragraph" w:customStyle="1" w:styleId="207">
    <w:name w:val="封面次行"/>
    <w:basedOn w:val="1"/>
    <w:qFormat/>
    <w:uiPriority w:val="0"/>
    <w:pPr>
      <w:spacing w:beforeLines="100" w:line="700" w:lineRule="exact"/>
      <w:jc w:val="center"/>
    </w:pPr>
    <w:rPr>
      <w:b/>
      <w:spacing w:val="20"/>
      <w:sz w:val="52"/>
    </w:rPr>
  </w:style>
  <w:style w:type="paragraph" w:customStyle="1" w:styleId="208">
    <w:name w:val="00000000000"/>
    <w:basedOn w:val="1"/>
    <w:qFormat/>
    <w:uiPriority w:val="0"/>
    <w:pPr>
      <w:spacing w:line="520" w:lineRule="exact"/>
      <w:ind w:firstLine="200" w:firstLineChars="200"/>
    </w:pPr>
    <w:rPr>
      <w:sz w:val="28"/>
      <w:szCs w:val="24"/>
    </w:rPr>
  </w:style>
  <w:style w:type="paragraph" w:customStyle="1" w:styleId="209">
    <w:name w:val="123123"/>
    <w:basedOn w:val="1"/>
    <w:qFormat/>
    <w:uiPriority w:val="0"/>
    <w:pPr>
      <w:widowControl/>
      <w:spacing w:line="480" w:lineRule="exact"/>
      <w:ind w:firstLine="200" w:firstLineChars="200"/>
      <w:jc w:val="left"/>
    </w:pPr>
    <w:rPr>
      <w:rFonts w:eastAsia="仿宋_GB2312"/>
      <w:sz w:val="28"/>
    </w:rPr>
  </w:style>
  <w:style w:type="paragraph" w:customStyle="1" w:styleId="210">
    <w:name w:val="表1"/>
    <w:basedOn w:val="1"/>
    <w:qFormat/>
    <w:uiPriority w:val="0"/>
    <w:pPr>
      <w:adjustRightInd w:val="0"/>
      <w:snapToGrid w:val="0"/>
      <w:jc w:val="center"/>
    </w:pPr>
    <w:rPr>
      <w:rFonts w:ascii="宋体" w:hAnsi="Arial Narrow"/>
      <w:kern w:val="24"/>
      <w:szCs w:val="20"/>
    </w:rPr>
  </w:style>
  <w:style w:type="paragraph" w:customStyle="1" w:styleId="211">
    <w:name w:val="样式 宋体 四号 行距: 固定值 25 磅"/>
    <w:basedOn w:val="1"/>
    <w:qFormat/>
    <w:uiPriority w:val="0"/>
    <w:pPr>
      <w:spacing w:line="500" w:lineRule="exact"/>
      <w:ind w:firstLine="560" w:firstLineChars="200"/>
    </w:pPr>
    <w:rPr>
      <w:rFonts w:ascii="宋体" w:hAnsi="宋体" w:eastAsia="宋体" w:cs="宋体"/>
      <w:sz w:val="24"/>
      <w:szCs w:val="24"/>
    </w:rPr>
  </w:style>
  <w:style w:type="paragraph" w:customStyle="1" w:styleId="212">
    <w:name w:val="WPSOffice手动目录 1"/>
    <w:qFormat/>
    <w:uiPriority w:val="0"/>
    <w:pPr>
      <w:ind w:leftChars="0"/>
    </w:pPr>
    <w:rPr>
      <w:rFonts w:ascii="Times New Roman" w:hAnsi="Times New Roman" w:eastAsia="宋体" w:cs="Times New Roman"/>
      <w:sz w:val="20"/>
      <w:szCs w:val="20"/>
    </w:rPr>
  </w:style>
  <w:style w:type="paragraph" w:customStyle="1" w:styleId="213">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w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4.png"/><Relationship Id="rId12" Type="http://schemas.openxmlformats.org/officeDocument/2006/relationships/image" Target="media/image3.wmf"/><Relationship Id="rId11" Type="http://schemas.openxmlformats.org/officeDocument/2006/relationships/image" Target="media/image2.w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E00E17-06FA-467B-83B1-57446C3D63EE}">
  <ds:schemaRefs/>
</ds:datastoreItem>
</file>

<file path=docProps/app.xml><?xml version="1.0" encoding="utf-8"?>
<Properties xmlns="http://schemas.openxmlformats.org/officeDocument/2006/extended-properties" xmlns:vt="http://schemas.openxmlformats.org/officeDocument/2006/docPropsVTypes">
  <Template>Normal</Template>
  <Company>NIDR</Company>
  <Pages>1</Pages>
  <Words>887</Words>
  <Characters>5061</Characters>
  <Lines>42</Lines>
  <Paragraphs>11</Paragraphs>
  <TotalTime>0</TotalTime>
  <ScaleCrop>false</ScaleCrop>
  <LinksUpToDate>false</LinksUpToDate>
  <CharactersWithSpaces>5937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2019-05-23T01:22:00Z</dcterms:created>
  <dc:creator>lenovo</dc:creator>
  <cp:lastModifiedBy>杨洋</cp:lastModifiedBy>
  <cp:lastPrinted>2019-11-04T11:34:00Z</cp:lastPrinted>
  <dcterms:modified xsi:type="dcterms:W3CDTF">2021-03-02T08:23:43Z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